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3F161" w14:textId="65489602" w:rsidR="00B571A3" w:rsidRDefault="0051530D" w:rsidP="00B571A3">
      <w:pPr>
        <w:spacing w:line="240" w:lineRule="auto"/>
        <w:rPr>
          <w:rFonts w:ascii="Times New Roman" w:hAnsi="Times New Roman" w:cs="Times New Roman"/>
          <w:b/>
          <w:sz w:val="34"/>
          <w:szCs w:val="34"/>
        </w:rPr>
      </w:pPr>
      <w:r w:rsidRPr="00210933">
        <w:rPr>
          <w:rFonts w:ascii="Times New Roman" w:hAnsi="Times New Roman" w:cs="Times New Roman"/>
          <w:b/>
          <w:sz w:val="34"/>
          <w:szCs w:val="34"/>
        </w:rPr>
        <w:t xml:space="preserve">Supplementary Material </w:t>
      </w:r>
    </w:p>
    <w:p w14:paraId="2CAFC95B" w14:textId="0DA6CC13" w:rsidR="003C5583" w:rsidRPr="003C5583" w:rsidRDefault="003C5583" w:rsidP="00B571A3">
      <w:pPr>
        <w:spacing w:line="240" w:lineRule="auto"/>
        <w:rPr>
          <w:rFonts w:ascii="Times New Roman" w:hAnsi="Times New Roman" w:cs="Times New Roman"/>
          <w:sz w:val="20"/>
          <w:szCs w:val="20"/>
        </w:rPr>
      </w:pPr>
      <w:r>
        <w:rPr>
          <w:rFonts w:ascii="Times New Roman" w:hAnsi="Times New Roman" w:cs="Times New Roman"/>
          <w:sz w:val="20"/>
          <w:szCs w:val="20"/>
        </w:rPr>
        <w:t>Please note that a</w:t>
      </w:r>
      <w:r w:rsidRPr="003C5583">
        <w:rPr>
          <w:rFonts w:ascii="Times New Roman" w:hAnsi="Times New Roman" w:cs="Times New Roman"/>
          <w:sz w:val="20"/>
          <w:szCs w:val="20"/>
        </w:rPr>
        <w:t xml:space="preserve">ll Supplementary Figures can be found in </w:t>
      </w:r>
      <w:r w:rsidRPr="003C5583">
        <w:rPr>
          <w:rFonts w:ascii="Times New Roman" w:hAnsi="Times New Roman" w:cs="Times New Roman"/>
          <w:sz w:val="20"/>
          <w:szCs w:val="20"/>
        </w:rPr>
        <w:fldChar w:fldCharType="begin"/>
      </w:r>
      <w:r w:rsidRPr="003C5583">
        <w:rPr>
          <w:rFonts w:ascii="Times New Roman" w:hAnsi="Times New Roman" w:cs="Times New Roman"/>
          <w:sz w:val="20"/>
          <w:szCs w:val="20"/>
        </w:rPr>
        <w:instrText xml:space="preserve"> ADDIN EN.CITE &lt;EndNote&gt;&lt;Cite AuthorYear="1"&gt;&lt;Author&gt;Subarkah&lt;/Author&gt;&lt;Year&gt;2022&lt;/Year&gt;&lt;RecNum&gt;667&lt;/RecNum&gt;&lt;DisplayText&gt;Subarkah et al. (2022)&lt;/DisplayText&gt;&lt;record&gt;&lt;rec-number&gt;667&lt;/rec-number&gt;&lt;foreign-keys&gt;&lt;key app="EN" db-id="5sx2pewp2avfr3e2zfkv902kz9fppe9vzxse" timestamp="1662379835"&gt;667&lt;/key&gt;&lt;/foreign-keys&gt;&lt;ref-type name="Figure"&gt;37&lt;/ref-type&gt;&lt;contributors&gt;&lt;authors&gt;&lt;author&gt;Subarkah, Darwinaji&lt;/author&gt;&lt;author&gt;Nixon, Angus&lt;/author&gt;&lt;author&gt;Jimenez Lloreda, Monica&lt;/author&gt;&lt;author&gt;Collins, Alan&lt;/author&gt;&lt;author&gt;Blades, Morgan&lt;/author&gt;&lt;author&gt;Farkas, Juraj&lt;/author&gt;&lt;author&gt;Gilbert, Sarah&lt;/author&gt;&lt;author&gt;Holford, Simon&lt;/author&gt;&lt;author&gt;Jarrett, Amber&lt;/author&gt;&lt;/authors&gt;&lt;/contributors&gt;&lt;titles&gt;&lt;title&gt;GCHRON-2022-8_SuppFigures&lt;/title&gt;&lt;/titles&gt;&lt;keywords&gt;&lt;keyword&gt;Geochronology&lt;/keyword&gt;&lt;keyword&gt;Proterozoic Basin&lt;/keyword&gt;&lt;keyword&gt;shale gas development&lt;/keyword&gt;&lt;keyword&gt;petroleum cores&lt;/keyword&gt;&lt;/keywords&gt;&lt;dates&gt;&lt;year&gt;2022&lt;/year&gt;&lt;/dates&gt;&lt;publisher&gt;The University of Adelaide&lt;/publisher&gt;&lt;urls&gt;&lt;related-urls&gt;&lt;url&gt;https://adelaide.figshare.com/articles/figure/GCHRON-2022-8_SuppFigures/20938345&lt;/url&gt;&lt;/related-urls&gt;&lt;/urls&gt;&lt;electronic-resource-num&gt;10.25909/20938345&lt;/electronic-resource-num&gt;&lt;/record&gt;&lt;/Cite&gt;&lt;/EndNote&gt;</w:instrText>
      </w:r>
      <w:r w:rsidRPr="003C5583">
        <w:rPr>
          <w:rFonts w:ascii="Times New Roman" w:hAnsi="Times New Roman" w:cs="Times New Roman"/>
          <w:sz w:val="20"/>
          <w:szCs w:val="20"/>
        </w:rPr>
        <w:fldChar w:fldCharType="separate"/>
      </w:r>
      <w:r w:rsidRPr="003C5583">
        <w:rPr>
          <w:rFonts w:ascii="Times New Roman" w:hAnsi="Times New Roman" w:cs="Times New Roman"/>
          <w:noProof/>
          <w:sz w:val="20"/>
          <w:szCs w:val="20"/>
        </w:rPr>
        <w:t>Subarkah et al. (2022)</w:t>
      </w:r>
      <w:r w:rsidRPr="003C5583">
        <w:rPr>
          <w:rFonts w:ascii="Times New Roman" w:hAnsi="Times New Roman" w:cs="Times New Roman"/>
          <w:sz w:val="20"/>
          <w:szCs w:val="20"/>
        </w:rPr>
        <w:fldChar w:fldCharType="end"/>
      </w:r>
      <w:r>
        <w:rPr>
          <w:rFonts w:ascii="Times New Roman" w:hAnsi="Times New Roman" w:cs="Times New Roman"/>
          <w:sz w:val="20"/>
          <w:szCs w:val="20"/>
        </w:rPr>
        <w:t>.</w:t>
      </w:r>
      <w:bookmarkStart w:id="0" w:name="_GoBack"/>
      <w:bookmarkEnd w:id="0"/>
    </w:p>
    <w:p w14:paraId="12950405" w14:textId="28085824" w:rsidR="0051530D" w:rsidRPr="00210933" w:rsidRDefault="00210933" w:rsidP="00210933">
      <w:pPr>
        <w:pStyle w:val="ListParagraph"/>
        <w:numPr>
          <w:ilvl w:val="0"/>
          <w:numId w:val="3"/>
        </w:numPr>
        <w:spacing w:line="480" w:lineRule="auto"/>
        <w:rPr>
          <w:rFonts w:ascii="Times New Roman" w:hAnsi="Times New Roman" w:cs="Times New Roman"/>
          <w:b/>
          <w:bCs/>
          <w:sz w:val="20"/>
          <w:szCs w:val="20"/>
        </w:rPr>
      </w:pPr>
      <w:r w:rsidRPr="00210933">
        <w:rPr>
          <w:rFonts w:ascii="Times New Roman" w:hAnsi="Times New Roman" w:cs="Times New Roman"/>
          <w:b/>
          <w:bCs/>
          <w:sz w:val="20"/>
          <w:szCs w:val="20"/>
        </w:rPr>
        <w:t>Analytical Methods</w:t>
      </w:r>
    </w:p>
    <w:p w14:paraId="6382E590" w14:textId="56EE0630" w:rsidR="00E53C34" w:rsidRPr="00210933" w:rsidRDefault="004A1EA7" w:rsidP="00210933">
      <w:pPr>
        <w:spacing w:line="480" w:lineRule="auto"/>
        <w:rPr>
          <w:rFonts w:ascii="Times New Roman" w:hAnsi="Times New Roman" w:cs="Times New Roman"/>
          <w:sz w:val="20"/>
          <w:szCs w:val="20"/>
        </w:rPr>
      </w:pPr>
      <w:r w:rsidRPr="00210933">
        <w:rPr>
          <w:rFonts w:ascii="Times New Roman" w:hAnsi="Times New Roman" w:cs="Times New Roman"/>
          <w:sz w:val="20"/>
          <w:szCs w:val="20"/>
        </w:rPr>
        <w:t>Samples were comprehensively characterized by scanning electron microscope</w:t>
      </w:r>
      <w:r w:rsidR="004701AF" w:rsidRPr="00210933">
        <w:rPr>
          <w:rFonts w:ascii="Times New Roman" w:hAnsi="Times New Roman" w:cs="Times New Roman"/>
          <w:sz w:val="20"/>
          <w:szCs w:val="20"/>
        </w:rPr>
        <w:t xml:space="preserve"> (SEM) </w:t>
      </w:r>
      <w:r w:rsidR="003C5397" w:rsidRPr="00210933">
        <w:rPr>
          <w:rFonts w:ascii="Times New Roman" w:hAnsi="Times New Roman" w:cs="Times New Roman"/>
          <w:sz w:val="20"/>
          <w:szCs w:val="20"/>
        </w:rPr>
        <w:t xml:space="preserve">energy dispersive X-ray spectroscopy (EDS) </w:t>
      </w:r>
      <w:r w:rsidR="003E4A7F" w:rsidRPr="00210933">
        <w:rPr>
          <w:rFonts w:ascii="Times New Roman" w:hAnsi="Times New Roman" w:cs="Times New Roman"/>
          <w:sz w:val="20"/>
          <w:szCs w:val="20"/>
        </w:rPr>
        <w:t xml:space="preserve">for </w:t>
      </w:r>
      <w:r w:rsidRPr="00210933">
        <w:rPr>
          <w:rFonts w:ascii="Times New Roman" w:hAnsi="Times New Roman" w:cs="Times New Roman"/>
          <w:sz w:val="20"/>
          <w:szCs w:val="20"/>
        </w:rPr>
        <w:t xml:space="preserve">mineral liberation analysis </w:t>
      </w:r>
      <w:r w:rsidR="003C5397" w:rsidRPr="00210933">
        <w:rPr>
          <w:rFonts w:ascii="Times New Roman" w:hAnsi="Times New Roman" w:cs="Times New Roman"/>
          <w:sz w:val="20"/>
          <w:szCs w:val="20"/>
        </w:rPr>
        <w:t xml:space="preserve">(MLA) </w:t>
      </w:r>
      <w:r w:rsidRPr="00210933">
        <w:rPr>
          <w:rFonts w:ascii="Times New Roman" w:hAnsi="Times New Roman" w:cs="Times New Roman"/>
          <w:sz w:val="20"/>
          <w:szCs w:val="20"/>
        </w:rPr>
        <w:t xml:space="preserve">in conjunction with bulk XRD data to confirm phase identifications. Backscatter electron (BSE) images and </w:t>
      </w:r>
      <w:r w:rsidR="003C5397" w:rsidRPr="00210933">
        <w:rPr>
          <w:rFonts w:ascii="Times New Roman" w:hAnsi="Times New Roman" w:cs="Times New Roman"/>
          <w:sz w:val="20"/>
          <w:szCs w:val="20"/>
        </w:rPr>
        <w:t>MLA maps</w:t>
      </w:r>
      <w:r w:rsidRPr="00210933">
        <w:rPr>
          <w:rFonts w:ascii="Times New Roman" w:hAnsi="Times New Roman" w:cs="Times New Roman"/>
          <w:sz w:val="20"/>
          <w:szCs w:val="20"/>
        </w:rPr>
        <w:t xml:space="preserve"> were obtained with a</w:t>
      </w:r>
      <w:r w:rsidR="00BF4BBB" w:rsidRPr="00210933">
        <w:rPr>
          <w:rFonts w:ascii="Times New Roman" w:hAnsi="Times New Roman" w:cs="Times New Roman"/>
          <w:sz w:val="20"/>
          <w:szCs w:val="20"/>
        </w:rPr>
        <w:t xml:space="preserve"> Hitachi SU3800 Automated Mineralogy Scanning Electron Microscope at Adelaide Microscopy. Classification of individual spectra was done using the Advanced Mineral Identification and Characterization System (AMICS) software. AMICS deconvolves mixed spectra and assigns up minerals per analysed </w:t>
      </w:r>
      <w:r w:rsidR="00E53C34" w:rsidRPr="00210933">
        <w:rPr>
          <w:rFonts w:ascii="Times New Roman" w:hAnsi="Times New Roman" w:cs="Times New Roman"/>
          <w:sz w:val="20"/>
          <w:szCs w:val="20"/>
        </w:rPr>
        <w:t xml:space="preserve">in a </w:t>
      </w:r>
      <w:r w:rsidR="00BF4BBB" w:rsidRPr="00210933">
        <w:rPr>
          <w:rFonts w:ascii="Times New Roman" w:hAnsi="Times New Roman" w:cs="Times New Roman"/>
          <w:sz w:val="20"/>
          <w:szCs w:val="20"/>
        </w:rPr>
        <w:t xml:space="preserve">single spot. </w:t>
      </w:r>
      <w:r w:rsidR="00E53C34" w:rsidRPr="00210933">
        <w:rPr>
          <w:rFonts w:ascii="Times New Roman" w:hAnsi="Times New Roman" w:cs="Times New Roman"/>
          <w:sz w:val="20"/>
          <w:szCs w:val="20"/>
        </w:rPr>
        <w:t xml:space="preserve">Mineral concentrations (reported as wt. %) in the mapped areas are determined by converting the mineral area % to wt. % using published densities for all identified sample constituents, with accuracy and precision comparable to quantitative XRD analysis (Table 1). Bulk XRD analyses </w:t>
      </w:r>
      <w:r w:rsidR="00E53C34" w:rsidRPr="00210933">
        <w:rPr>
          <w:rFonts w:ascii="Times New Roman" w:hAnsi="Times New Roman" w:cs="Times New Roman"/>
          <w:sz w:val="20"/>
          <w:szCs w:val="20"/>
        </w:rPr>
        <w:fldChar w:fldCharType="begin"/>
      </w:r>
      <w:r w:rsidR="00E53C34" w:rsidRPr="00210933">
        <w:rPr>
          <w:rFonts w:ascii="Times New Roman" w:hAnsi="Times New Roman" w:cs="Times New Roman"/>
          <w:sz w:val="20"/>
          <w:szCs w:val="20"/>
        </w:rPr>
        <w:instrText xml:space="preserve"> ADDIN EN.CITE &lt;EndNote&gt;&lt;Cite&gt;&lt;Author&gt;Cox&lt;/Author&gt;&lt;Year&gt;2016&lt;/Year&gt;&lt;RecNum&gt;70&lt;/RecNum&gt;&lt;DisplayText&gt;(Cox et al., 2016; NTGS, 2012)&lt;/DisplayText&gt;&lt;record&gt;&lt;rec-number&gt;70&lt;/rec-number&gt;&lt;foreign-keys&gt;&lt;key app="EN" db-id="5sx2pewp2avfr3e2zfkv902kz9fppe9vzxse" timestamp="1584503092"&gt;70&lt;/key&gt;&lt;key app="ENWeb" db-id=""&gt;0&lt;/key&gt;&lt;/foreign-keys&gt;&lt;ref-type name="Journal Article"&gt;17&lt;/ref-type&gt;&lt;contributors&gt;&lt;authors&gt;&lt;author&gt;Cox, Grant M.&lt;/author&gt;&lt;author&gt;Jarrett, Amber&lt;/author&gt;&lt;author&gt;Edwards, Dianne&lt;/author&gt;&lt;author&gt;Crockford, Peter W.&lt;/author&gt;&lt;author&gt;Halverson, Galen P.&lt;/author&gt;&lt;author&gt;Collins, Alan S.&lt;/author&gt;&lt;author&gt;Poirier, André&lt;/author&gt;&lt;author&gt;Li, Zheng-Xiang&lt;/author&gt;&lt;/authors&gt;&lt;/contributors&gt;&lt;titles&gt;&lt;title&gt;Basin redox and primary productivity within the Mesoproterozoic Roper Seaway&lt;/title&gt;&lt;secondary-title&gt;Chemical Geology&lt;/secondary-title&gt;&lt;/titles&gt;&lt;periodical&gt;&lt;full-title&gt;Chemical Geology&lt;/full-title&gt;&lt;/periodical&gt;&lt;pages&gt;101-114&lt;/pages&gt;&lt;volume&gt;440&lt;/volume&gt;&lt;section&gt;101&lt;/section&gt;&lt;dates&gt;&lt;year&gt;2016&lt;/year&gt;&lt;/dates&gt;&lt;isbn&gt;00092541&lt;/isbn&gt;&lt;urls&gt;&lt;/urls&gt;&lt;electronic-resource-num&gt;10.1016/j.chemgeo.2016.06.025&lt;/electronic-resource-num&gt;&lt;/record&gt;&lt;/Cite&gt;&lt;Cite&gt;&lt;Author&gt;NTGS&lt;/Author&gt;&lt;Year&gt;2012&lt;/Year&gt;&lt;RecNum&gt;488&lt;/RecNum&gt;&lt;record&gt;&lt;rec-number&gt;488&lt;/rec-number&gt;&lt;foreign-keys&gt;&lt;key app="EN" db-id="5sx2pewp2avfr3e2zfkv902kz9fppe9vzxse" timestamp="1641259132"&gt;488&lt;/key&gt;&lt;/foreign-keys&gt;&lt;ref-type name="Government Document"&gt;46&lt;/ref-type&gt;&lt;contributors&gt;&lt;authors&gt;&lt;author&gt;NTGS&lt;/author&gt;&lt;/authors&gt;&lt;secondary-authors&gt;&lt;author&gt;Northern Territory Geological Survey&lt;/author&gt;&lt;/secondary-authors&gt;&lt;/contributors&gt;&lt;titles&gt;&lt;title&gt;Quantitative X-Ray Diffraction Analysis of 30 samples&lt;/title&gt;&lt;tertiary-title&gt;Core Sampling Reports&lt;/tertiary-title&gt;&lt;/titles&gt;&lt;dates&gt;&lt;year&gt;2012&lt;/year&gt;&lt;/dates&gt;&lt;pub-location&gt;Northern Territory, Australia&lt;/pub-location&gt;&lt;publisher&gt;Northern Territory Geological Survey&lt;/publisher&gt;&lt;isbn&gt;CSR0181&lt;/isbn&gt;&lt;urls&gt;&lt;/urls&gt;&lt;electronic-resource-num&gt;https://geoscience.nt.gov.au/gemis/ntgsjspui/handle/1/84920&lt;/electronic-resource-num&gt;&lt;/record&gt;&lt;/Cite&gt;&lt;/EndNote&gt;</w:instrText>
      </w:r>
      <w:r w:rsidR="00E53C34" w:rsidRPr="00210933">
        <w:rPr>
          <w:rFonts w:ascii="Times New Roman" w:hAnsi="Times New Roman" w:cs="Times New Roman"/>
          <w:sz w:val="20"/>
          <w:szCs w:val="20"/>
        </w:rPr>
        <w:fldChar w:fldCharType="separate"/>
      </w:r>
      <w:r w:rsidR="00E53C34" w:rsidRPr="00210933">
        <w:rPr>
          <w:rFonts w:ascii="Times New Roman" w:hAnsi="Times New Roman" w:cs="Times New Roman"/>
          <w:noProof/>
          <w:sz w:val="20"/>
          <w:szCs w:val="20"/>
        </w:rPr>
        <w:t>(Cox et al., 2016; NTGS, 2012)</w:t>
      </w:r>
      <w:r w:rsidR="00E53C34" w:rsidRPr="00210933">
        <w:rPr>
          <w:rFonts w:ascii="Times New Roman" w:hAnsi="Times New Roman" w:cs="Times New Roman"/>
          <w:sz w:val="20"/>
          <w:szCs w:val="20"/>
        </w:rPr>
        <w:fldChar w:fldCharType="end"/>
      </w:r>
      <w:r w:rsidR="00E53C34" w:rsidRPr="00210933">
        <w:rPr>
          <w:rFonts w:ascii="Times New Roman" w:hAnsi="Times New Roman" w:cs="Times New Roman"/>
          <w:sz w:val="20"/>
          <w:szCs w:val="20"/>
        </w:rPr>
        <w:t xml:space="preserve"> were used as an independent crystallography based mineral identification of samples to confirm the phases characterized by AMICS micro-imaging. </w:t>
      </w:r>
    </w:p>
    <w:p w14:paraId="0B87FF74" w14:textId="120F6EDD" w:rsidR="004A1EA7" w:rsidRPr="00210933" w:rsidRDefault="00E53C34" w:rsidP="00210933">
      <w:pPr>
        <w:spacing w:line="480" w:lineRule="auto"/>
        <w:rPr>
          <w:rFonts w:ascii="Times New Roman" w:hAnsi="Times New Roman" w:cs="Times New Roman"/>
          <w:sz w:val="20"/>
          <w:szCs w:val="20"/>
        </w:rPr>
      </w:pPr>
      <w:r w:rsidRPr="00210933">
        <w:rPr>
          <w:rFonts w:ascii="Times New Roman" w:hAnsi="Times New Roman" w:cs="Times New Roman"/>
          <w:sz w:val="20"/>
          <w:szCs w:val="20"/>
        </w:rPr>
        <w:t>Laser analyses on samples and standards were carried out at Adelaide Microscopy, University of Adelaide using a laser ablation (</w:t>
      </w:r>
      <w:proofErr w:type="spellStart"/>
      <w:r w:rsidRPr="00210933">
        <w:rPr>
          <w:rFonts w:ascii="Times New Roman" w:hAnsi="Times New Roman" w:cs="Times New Roman"/>
          <w:sz w:val="20"/>
          <w:szCs w:val="20"/>
        </w:rPr>
        <w:t>RESOlution</w:t>
      </w:r>
      <w:proofErr w:type="spellEnd"/>
      <w:r w:rsidRPr="00210933">
        <w:rPr>
          <w:rFonts w:ascii="Times New Roman" w:hAnsi="Times New Roman" w:cs="Times New Roman"/>
          <w:sz w:val="20"/>
          <w:szCs w:val="20"/>
        </w:rPr>
        <w:t xml:space="preserve">-LR </w:t>
      </w:r>
      <w:proofErr w:type="spellStart"/>
      <w:r w:rsidRPr="00210933">
        <w:rPr>
          <w:rFonts w:ascii="Times New Roman" w:hAnsi="Times New Roman" w:cs="Times New Roman"/>
          <w:sz w:val="20"/>
          <w:szCs w:val="20"/>
        </w:rPr>
        <w:t>ArF</w:t>
      </w:r>
      <w:proofErr w:type="spellEnd"/>
      <w:r w:rsidRPr="00210933">
        <w:rPr>
          <w:rFonts w:ascii="Times New Roman" w:hAnsi="Times New Roman" w:cs="Times New Roman"/>
          <w:sz w:val="20"/>
          <w:szCs w:val="20"/>
        </w:rPr>
        <w:t xml:space="preserve"> 193nm excimer laser) inductively couple-mass spectrometer (Agilent 8900x ICP-MS/MS) with the analytical parameters and tuning conditions following </w:t>
      </w:r>
      <w:r w:rsidR="00BF4BBB" w:rsidRPr="00210933">
        <w:rPr>
          <w:rFonts w:ascii="Times New Roman" w:hAnsi="Times New Roman" w:cs="Times New Roman"/>
          <w:sz w:val="20"/>
          <w:szCs w:val="20"/>
        </w:rPr>
        <w:fldChar w:fldCharType="begin"/>
      </w:r>
      <w:r w:rsidR="00BF4BBB" w:rsidRPr="00210933">
        <w:rPr>
          <w:rFonts w:ascii="Times New Roman" w:hAnsi="Times New Roman" w:cs="Times New Roman"/>
          <w:sz w:val="20"/>
          <w:szCs w:val="20"/>
        </w:rPr>
        <w:instrText xml:space="preserve"> ADDIN EN.CITE &lt;EndNote&gt;&lt;Cite AuthorYear="1"&gt;&lt;Author&gt;Redaa&lt;/Author&gt;&lt;Year&gt;2021&lt;/Year&gt;&lt;RecNum&gt;158&lt;/RecNum&gt;&lt;DisplayText&gt;Redaa et al. (2021)&lt;/DisplayText&gt;&lt;record&gt;&lt;rec-number&gt;158&lt;/rec-number&gt;&lt;foreign-keys&gt;&lt;key app="EN" db-id="5sx2pewp2avfr3e2zfkv902kz9fppe9vzxse" timestamp="1611880113"&gt;158&lt;/key&gt;&lt;/foreign-keys&gt;&lt;ref-type name="Journal Article"&gt;17&lt;/ref-type&gt;&lt;contributors&gt;&lt;authors&gt;&lt;author&gt;Redaa, Ahmad&lt;/author&gt;&lt;author&gt;Farkaš, Juraj&lt;/author&gt;&lt;author&gt;Gilbert, Sarah&lt;/author&gt;&lt;author&gt;Collins, Alan S.&lt;/author&gt;&lt;author&gt;Wade, Ben&lt;/author&gt;&lt;author&gt;Löhr, Stefan&lt;/author&gt;&lt;author&gt;Zack, Thomas&lt;/author&gt;&lt;author&gt;Garbe-Schönberg, Dieter&lt;/author&gt;&lt;/authors&gt;&lt;/contributors&gt;&lt;titles&gt;&lt;title&gt;Assessment of elemental fractionation and matrix effects during in situ Rb–Sr dating of phlogopite by LA-ICP-MS/MS: implications for the accuracy and precision of mineral ages&lt;/title&gt;&lt;secondary-title&gt;Journal of Analytical Atomic Spectrometry&lt;/secondary-title&gt;&lt;/titles&gt;&lt;periodical&gt;&lt;full-title&gt;Journal of Analytical Atomic Spectrometry&lt;/full-title&gt;&lt;/periodical&gt;&lt;dates&gt;&lt;year&gt;2021&lt;/year&gt;&lt;/dates&gt;&lt;publisher&gt;The Royal Society of Chemistry&lt;/publisher&gt;&lt;isbn&gt;0267-9477&lt;/isbn&gt;&lt;work-type&gt;10.1039/D0JA00299B&lt;/work-type&gt;&lt;urls&gt;&lt;related-urls&gt;&lt;url&gt;http://dx.doi.org/10.1039/D0JA00299B&lt;/url&gt;&lt;/related-urls&gt;&lt;/urls&gt;&lt;electronic-resource-num&gt;10.1039/D0JA00299B&lt;/electronic-resource-num&gt;&lt;/record&gt;&lt;/Cite&gt;&lt;/EndNote&gt;</w:instrText>
      </w:r>
      <w:r w:rsidR="00BF4BBB" w:rsidRPr="00210933">
        <w:rPr>
          <w:rFonts w:ascii="Times New Roman" w:hAnsi="Times New Roman" w:cs="Times New Roman"/>
          <w:sz w:val="20"/>
          <w:szCs w:val="20"/>
        </w:rPr>
        <w:fldChar w:fldCharType="separate"/>
      </w:r>
      <w:r w:rsidR="00BF4BBB" w:rsidRPr="00210933">
        <w:rPr>
          <w:rFonts w:ascii="Times New Roman" w:hAnsi="Times New Roman" w:cs="Times New Roman"/>
          <w:noProof/>
          <w:sz w:val="20"/>
          <w:szCs w:val="20"/>
        </w:rPr>
        <w:t>Redaa et al. (2021)</w:t>
      </w:r>
      <w:r w:rsidR="00BF4BBB" w:rsidRPr="00210933">
        <w:rPr>
          <w:rFonts w:ascii="Times New Roman" w:hAnsi="Times New Roman" w:cs="Times New Roman"/>
          <w:sz w:val="20"/>
          <w:szCs w:val="20"/>
        </w:rPr>
        <w:fldChar w:fldCharType="end"/>
      </w:r>
      <w:r w:rsidR="00BF4BBB" w:rsidRPr="00210933">
        <w:rPr>
          <w:rFonts w:ascii="Times New Roman" w:hAnsi="Times New Roman" w:cs="Times New Roman"/>
          <w:sz w:val="20"/>
          <w:szCs w:val="20"/>
        </w:rPr>
        <w:t xml:space="preserve"> and summarised </w:t>
      </w:r>
      <w:r w:rsidR="008F322D" w:rsidRPr="00210933">
        <w:rPr>
          <w:rFonts w:ascii="Times New Roman" w:hAnsi="Times New Roman" w:cs="Times New Roman"/>
          <w:sz w:val="20"/>
          <w:szCs w:val="20"/>
        </w:rPr>
        <w:t xml:space="preserve">in Table </w:t>
      </w:r>
      <w:r w:rsidR="006A23DC">
        <w:rPr>
          <w:rFonts w:ascii="Times New Roman" w:hAnsi="Times New Roman" w:cs="Times New Roman"/>
          <w:sz w:val="20"/>
          <w:szCs w:val="20"/>
        </w:rPr>
        <w:t>S1</w:t>
      </w:r>
      <w:r w:rsidR="00BF4BBB" w:rsidRPr="00210933">
        <w:rPr>
          <w:rFonts w:ascii="Times New Roman" w:hAnsi="Times New Roman" w:cs="Times New Roman"/>
          <w:sz w:val="20"/>
          <w:szCs w:val="20"/>
        </w:rPr>
        <w:t>.</w:t>
      </w:r>
      <w:r w:rsidRPr="00210933">
        <w:rPr>
          <w:rFonts w:ascii="Times New Roman" w:hAnsi="Times New Roman" w:cs="Times New Roman"/>
          <w:sz w:val="20"/>
          <w:szCs w:val="20"/>
        </w:rPr>
        <w:t xml:space="preserve"> One spot analysis consisted of 20 seconds of gas background collected while the laser was not firing followed by 40 seconds of ablated signal. Strontium isotopes were measured in the oxidised molecule </w:t>
      </w:r>
      <w:proofErr w:type="spellStart"/>
      <w:r w:rsidRPr="00210933">
        <w:rPr>
          <w:rFonts w:ascii="Times New Roman" w:hAnsi="Times New Roman" w:cs="Times New Roman"/>
          <w:sz w:val="20"/>
          <w:szCs w:val="20"/>
        </w:rPr>
        <w:t>SrO</w:t>
      </w:r>
      <w:proofErr w:type="spellEnd"/>
      <w:r w:rsidRPr="00210933">
        <w:rPr>
          <w:rFonts w:ascii="Times New Roman" w:hAnsi="Times New Roman" w:cs="Times New Roman"/>
          <w:sz w:val="20"/>
          <w:szCs w:val="20"/>
        </w:rPr>
        <w:t>. Strontium is oxidised with N</w:t>
      </w:r>
      <w:r w:rsidRPr="00210933">
        <w:rPr>
          <w:rFonts w:ascii="Times New Roman" w:hAnsi="Times New Roman" w:cs="Times New Roman"/>
          <w:sz w:val="20"/>
          <w:szCs w:val="20"/>
          <w:vertAlign w:val="subscript"/>
        </w:rPr>
        <w:t>2</w:t>
      </w:r>
      <w:r w:rsidRPr="00210933">
        <w:rPr>
          <w:rFonts w:ascii="Times New Roman" w:hAnsi="Times New Roman" w:cs="Times New Roman"/>
          <w:sz w:val="20"/>
          <w:szCs w:val="20"/>
        </w:rPr>
        <w:t xml:space="preserve">O gas in the reaction chamber (e.g. </w:t>
      </w:r>
      <w:r w:rsidRPr="00210933">
        <w:rPr>
          <w:rFonts w:ascii="Times New Roman" w:hAnsi="Times New Roman" w:cs="Times New Roman"/>
          <w:sz w:val="20"/>
          <w:szCs w:val="20"/>
          <w:vertAlign w:val="superscript"/>
        </w:rPr>
        <w:t>87</w:t>
      </w:r>
      <w:r w:rsidRPr="00210933">
        <w:rPr>
          <w:rFonts w:ascii="Times New Roman" w:hAnsi="Times New Roman" w:cs="Times New Roman"/>
          <w:sz w:val="20"/>
          <w:szCs w:val="20"/>
        </w:rPr>
        <w:t>Sr</w:t>
      </w:r>
      <w:r w:rsidRPr="00210933">
        <w:rPr>
          <w:rFonts w:ascii="Times New Roman" w:hAnsi="Times New Roman" w:cs="Times New Roman"/>
          <w:sz w:val="20"/>
          <w:szCs w:val="20"/>
          <w:vertAlign w:val="superscript"/>
        </w:rPr>
        <w:t>16</w:t>
      </w:r>
      <w:r w:rsidRPr="00210933">
        <w:rPr>
          <w:rFonts w:ascii="Times New Roman" w:hAnsi="Times New Roman" w:cs="Times New Roman"/>
          <w:sz w:val="20"/>
          <w:szCs w:val="20"/>
        </w:rPr>
        <w:t xml:space="preserve">O formed from </w:t>
      </w:r>
      <w:r w:rsidRPr="00210933">
        <w:rPr>
          <w:rFonts w:ascii="Times New Roman" w:hAnsi="Times New Roman" w:cs="Times New Roman"/>
          <w:sz w:val="20"/>
          <w:szCs w:val="20"/>
          <w:vertAlign w:val="superscript"/>
        </w:rPr>
        <w:t>87</w:t>
      </w:r>
      <w:r w:rsidRPr="00210933">
        <w:rPr>
          <w:rFonts w:ascii="Times New Roman" w:hAnsi="Times New Roman" w:cs="Times New Roman"/>
          <w:sz w:val="20"/>
          <w:szCs w:val="20"/>
        </w:rPr>
        <w:t xml:space="preserve">Sr at 103 amu) whilst the unreactive </w:t>
      </w:r>
      <w:r w:rsidRPr="00210933">
        <w:rPr>
          <w:rFonts w:ascii="Times New Roman" w:hAnsi="Times New Roman" w:cs="Times New Roman"/>
          <w:sz w:val="20"/>
          <w:szCs w:val="20"/>
          <w:vertAlign w:val="superscript"/>
        </w:rPr>
        <w:t>85</w:t>
      </w:r>
      <w:r w:rsidRPr="00210933">
        <w:rPr>
          <w:rFonts w:ascii="Times New Roman" w:hAnsi="Times New Roman" w:cs="Times New Roman"/>
          <w:sz w:val="20"/>
          <w:szCs w:val="20"/>
        </w:rPr>
        <w:t>Rb was measured on-mass. Dwell times for each Sr isotope were 50ms, 10ms for Rb and 5ms for all other masses totalling to 0.31 seconds.</w:t>
      </w:r>
      <w:r w:rsidR="004F27D0" w:rsidRPr="00210933">
        <w:rPr>
          <w:rFonts w:ascii="Times New Roman" w:hAnsi="Times New Roman" w:cs="Times New Roman"/>
          <w:sz w:val="20"/>
          <w:szCs w:val="20"/>
        </w:rPr>
        <w:t xml:space="preserve"> </w:t>
      </w:r>
    </w:p>
    <w:tbl>
      <w:tblPr>
        <w:tblStyle w:val="PlainTable5"/>
        <w:tblW w:w="0" w:type="auto"/>
        <w:tblLook w:val="04A0" w:firstRow="1" w:lastRow="0" w:firstColumn="1" w:lastColumn="0" w:noHBand="0" w:noVBand="1"/>
      </w:tblPr>
      <w:tblGrid>
        <w:gridCol w:w="3608"/>
        <w:gridCol w:w="2427"/>
        <w:gridCol w:w="2991"/>
      </w:tblGrid>
      <w:tr w:rsidR="008F322D" w:rsidRPr="00210933" w14:paraId="0E925946" w14:textId="77777777" w:rsidTr="005478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26" w:type="dxa"/>
            <w:gridSpan w:val="3"/>
          </w:tcPr>
          <w:p w14:paraId="0B106228" w14:textId="1A4160C2" w:rsidR="008F322D" w:rsidRPr="00210933" w:rsidRDefault="008F322D" w:rsidP="008F322D">
            <w:pPr>
              <w:spacing w:after="160" w:line="480" w:lineRule="auto"/>
              <w:jc w:val="left"/>
              <w:rPr>
                <w:rFonts w:ascii="Times New Roman" w:hAnsi="Times New Roman" w:cs="Times New Roman"/>
                <w:b/>
                <w:sz w:val="20"/>
                <w:szCs w:val="20"/>
                <w:lang w:val="en-US"/>
              </w:rPr>
            </w:pPr>
            <w:bookmarkStart w:id="1" w:name="_Hlk94795903"/>
          </w:p>
        </w:tc>
      </w:tr>
      <w:tr w:rsidR="00547875" w:rsidRPr="00210933" w14:paraId="28CE12A5"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1F778383" w14:textId="77777777" w:rsidR="008F322D" w:rsidRPr="00210933" w:rsidRDefault="008F322D" w:rsidP="008F322D">
            <w:pPr>
              <w:spacing w:after="160" w:line="480" w:lineRule="auto"/>
              <w:rPr>
                <w:rFonts w:ascii="Times New Roman" w:hAnsi="Times New Roman" w:cs="Times New Roman"/>
                <w:b/>
                <w:sz w:val="20"/>
                <w:szCs w:val="20"/>
                <w:lang w:val="en-US"/>
              </w:rPr>
            </w:pPr>
            <w:r w:rsidRPr="00210933">
              <w:rPr>
                <w:rFonts w:ascii="Times New Roman" w:hAnsi="Times New Roman" w:cs="Times New Roman"/>
                <w:b/>
                <w:sz w:val="20"/>
                <w:szCs w:val="20"/>
                <w:lang w:val="en-US"/>
              </w:rPr>
              <w:t>Laser Parameters</w:t>
            </w:r>
          </w:p>
        </w:tc>
        <w:tc>
          <w:tcPr>
            <w:tcW w:w="2427" w:type="dxa"/>
          </w:tcPr>
          <w:p w14:paraId="46FCEB17"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sz w:val="20"/>
                <w:szCs w:val="20"/>
                <w:lang w:val="en-US"/>
              </w:rPr>
            </w:pPr>
            <w:r w:rsidRPr="00210933">
              <w:rPr>
                <w:rFonts w:ascii="Times New Roman" w:hAnsi="Times New Roman" w:cs="Times New Roman"/>
                <w:b/>
                <w:i/>
                <w:sz w:val="20"/>
                <w:szCs w:val="20"/>
                <w:lang w:val="en-US"/>
              </w:rPr>
              <w:t>Value</w:t>
            </w:r>
          </w:p>
        </w:tc>
        <w:tc>
          <w:tcPr>
            <w:tcW w:w="2991" w:type="dxa"/>
          </w:tcPr>
          <w:p w14:paraId="6FD3BB87"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sz w:val="20"/>
                <w:szCs w:val="20"/>
                <w:lang w:val="en-US"/>
              </w:rPr>
            </w:pPr>
            <w:r w:rsidRPr="00210933">
              <w:rPr>
                <w:rFonts w:ascii="Times New Roman" w:hAnsi="Times New Roman" w:cs="Times New Roman"/>
                <w:b/>
                <w:i/>
                <w:sz w:val="20"/>
                <w:szCs w:val="20"/>
                <w:lang w:val="en-US"/>
              </w:rPr>
              <w:t>Unit</w:t>
            </w:r>
          </w:p>
        </w:tc>
      </w:tr>
      <w:tr w:rsidR="008F322D" w:rsidRPr="00210933" w14:paraId="0B1B23E7"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04AE0D4D" w14:textId="77777777" w:rsidR="008F322D" w:rsidRPr="00210933" w:rsidRDefault="008F322D" w:rsidP="008F322D">
            <w:pPr>
              <w:spacing w:after="160" w:line="480" w:lineRule="auto"/>
              <w:rPr>
                <w:rFonts w:ascii="Times New Roman" w:hAnsi="Times New Roman" w:cs="Times New Roman"/>
                <w:sz w:val="20"/>
                <w:szCs w:val="20"/>
                <w:lang w:val="en-US"/>
              </w:rPr>
            </w:pPr>
            <w:proofErr w:type="spellStart"/>
            <w:r w:rsidRPr="00210933">
              <w:rPr>
                <w:rFonts w:ascii="Times New Roman" w:hAnsi="Times New Roman" w:cs="Times New Roman"/>
                <w:sz w:val="20"/>
                <w:szCs w:val="20"/>
                <w:lang w:val="en-US"/>
              </w:rPr>
              <w:t>Ar</w:t>
            </w:r>
            <w:proofErr w:type="spellEnd"/>
            <w:r w:rsidRPr="00210933">
              <w:rPr>
                <w:rFonts w:ascii="Times New Roman" w:hAnsi="Times New Roman" w:cs="Times New Roman"/>
                <w:sz w:val="20"/>
                <w:szCs w:val="20"/>
                <w:lang w:val="en-US"/>
              </w:rPr>
              <w:t xml:space="preserve"> carrier gas</w:t>
            </w:r>
          </w:p>
        </w:tc>
        <w:tc>
          <w:tcPr>
            <w:tcW w:w="2427" w:type="dxa"/>
          </w:tcPr>
          <w:p w14:paraId="2440EFC8"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1050</w:t>
            </w:r>
          </w:p>
        </w:tc>
        <w:tc>
          <w:tcPr>
            <w:tcW w:w="2991" w:type="dxa"/>
          </w:tcPr>
          <w:p w14:paraId="6A3B96F5"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ml/min</w:t>
            </w:r>
          </w:p>
        </w:tc>
      </w:tr>
      <w:tr w:rsidR="00547875" w:rsidRPr="00210933" w14:paraId="61F0BBBA"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2B3D01CD"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Fluence</w:t>
            </w:r>
          </w:p>
        </w:tc>
        <w:tc>
          <w:tcPr>
            <w:tcW w:w="2427" w:type="dxa"/>
          </w:tcPr>
          <w:p w14:paraId="5E7AE7BE"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3.5</w:t>
            </w:r>
          </w:p>
        </w:tc>
        <w:tc>
          <w:tcPr>
            <w:tcW w:w="2991" w:type="dxa"/>
          </w:tcPr>
          <w:p w14:paraId="2C194ECC"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vertAlign w:val="superscript"/>
                <w:lang w:val="en-US"/>
              </w:rPr>
            </w:pPr>
            <w:r w:rsidRPr="00210933">
              <w:rPr>
                <w:rFonts w:ascii="Times New Roman" w:hAnsi="Times New Roman" w:cs="Times New Roman"/>
                <w:sz w:val="20"/>
                <w:szCs w:val="20"/>
                <w:lang w:val="en-US"/>
              </w:rPr>
              <w:t>J/cm</w:t>
            </w:r>
            <w:r w:rsidRPr="00210933">
              <w:rPr>
                <w:rFonts w:ascii="Times New Roman" w:hAnsi="Times New Roman" w:cs="Times New Roman"/>
                <w:sz w:val="20"/>
                <w:szCs w:val="20"/>
                <w:vertAlign w:val="superscript"/>
                <w:lang w:val="en-US"/>
              </w:rPr>
              <w:t>2</w:t>
            </w:r>
          </w:p>
        </w:tc>
      </w:tr>
      <w:tr w:rsidR="008F322D" w:rsidRPr="00210933" w14:paraId="4DAB5733"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6B5EC3AE"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He carrier gas</w:t>
            </w:r>
          </w:p>
        </w:tc>
        <w:tc>
          <w:tcPr>
            <w:tcW w:w="2427" w:type="dxa"/>
          </w:tcPr>
          <w:p w14:paraId="2D85E6BE"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350</w:t>
            </w:r>
          </w:p>
        </w:tc>
        <w:tc>
          <w:tcPr>
            <w:tcW w:w="2991" w:type="dxa"/>
          </w:tcPr>
          <w:p w14:paraId="04F1DCAC"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ml/min</w:t>
            </w:r>
          </w:p>
        </w:tc>
      </w:tr>
      <w:tr w:rsidR="00547875" w:rsidRPr="00210933" w14:paraId="2F42CAD8"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413D1984"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lastRenderedPageBreak/>
              <w:t>N</w:t>
            </w:r>
            <w:r w:rsidRPr="00210933">
              <w:rPr>
                <w:rFonts w:ascii="Times New Roman" w:hAnsi="Times New Roman" w:cs="Times New Roman"/>
                <w:sz w:val="20"/>
                <w:szCs w:val="20"/>
                <w:vertAlign w:val="subscript"/>
                <w:lang w:val="en-US"/>
              </w:rPr>
              <w:t xml:space="preserve">2 </w:t>
            </w:r>
            <w:r w:rsidRPr="00210933">
              <w:rPr>
                <w:rFonts w:ascii="Times New Roman" w:hAnsi="Times New Roman" w:cs="Times New Roman"/>
                <w:sz w:val="20"/>
                <w:szCs w:val="20"/>
                <w:lang w:val="en-US"/>
              </w:rPr>
              <w:t>addition</w:t>
            </w:r>
          </w:p>
        </w:tc>
        <w:tc>
          <w:tcPr>
            <w:tcW w:w="2427" w:type="dxa"/>
          </w:tcPr>
          <w:p w14:paraId="6008BC8F"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3.5</w:t>
            </w:r>
          </w:p>
        </w:tc>
        <w:tc>
          <w:tcPr>
            <w:tcW w:w="2991" w:type="dxa"/>
          </w:tcPr>
          <w:p w14:paraId="4A36B176"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ml/min</w:t>
            </w:r>
          </w:p>
        </w:tc>
      </w:tr>
      <w:tr w:rsidR="008F322D" w:rsidRPr="00210933" w14:paraId="61E69DF6"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306C852E"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Repetition rate</w:t>
            </w:r>
          </w:p>
        </w:tc>
        <w:tc>
          <w:tcPr>
            <w:tcW w:w="2427" w:type="dxa"/>
          </w:tcPr>
          <w:p w14:paraId="4E3DFED7"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10</w:t>
            </w:r>
          </w:p>
        </w:tc>
        <w:tc>
          <w:tcPr>
            <w:tcW w:w="2991" w:type="dxa"/>
          </w:tcPr>
          <w:p w14:paraId="3B6662BC"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Hz</w:t>
            </w:r>
          </w:p>
        </w:tc>
      </w:tr>
      <w:tr w:rsidR="00547875" w:rsidRPr="00210933" w14:paraId="75B2BA91"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6746D423"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Spot size</w:t>
            </w:r>
          </w:p>
        </w:tc>
        <w:tc>
          <w:tcPr>
            <w:tcW w:w="2427" w:type="dxa"/>
          </w:tcPr>
          <w:p w14:paraId="23452087"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74</w:t>
            </w:r>
          </w:p>
        </w:tc>
        <w:tc>
          <w:tcPr>
            <w:tcW w:w="2991" w:type="dxa"/>
          </w:tcPr>
          <w:p w14:paraId="2DFD9E68"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GB"/>
              </w:rPr>
              <w:t>µm</w:t>
            </w:r>
          </w:p>
        </w:tc>
      </w:tr>
      <w:tr w:rsidR="008F322D" w:rsidRPr="00210933" w14:paraId="2C1E6431"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64AC551E" w14:textId="77777777" w:rsidR="008F322D" w:rsidRPr="00210933" w:rsidRDefault="008F322D" w:rsidP="008F322D">
            <w:pPr>
              <w:spacing w:after="160" w:line="480" w:lineRule="auto"/>
              <w:rPr>
                <w:rFonts w:ascii="Times New Roman" w:hAnsi="Times New Roman" w:cs="Times New Roman"/>
                <w:b/>
                <w:sz w:val="20"/>
                <w:szCs w:val="20"/>
                <w:lang w:val="en-US"/>
              </w:rPr>
            </w:pPr>
            <w:r w:rsidRPr="00210933">
              <w:rPr>
                <w:rFonts w:ascii="Times New Roman" w:hAnsi="Times New Roman" w:cs="Times New Roman"/>
                <w:b/>
                <w:sz w:val="20"/>
                <w:szCs w:val="20"/>
                <w:lang w:val="en-US"/>
              </w:rPr>
              <w:t>ICP-MS/MS Plasma Parameters</w:t>
            </w:r>
          </w:p>
        </w:tc>
        <w:tc>
          <w:tcPr>
            <w:tcW w:w="2427" w:type="dxa"/>
          </w:tcPr>
          <w:p w14:paraId="424A5742"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0"/>
                <w:szCs w:val="20"/>
                <w:lang w:val="en-US"/>
              </w:rPr>
            </w:pPr>
            <w:r w:rsidRPr="00210933">
              <w:rPr>
                <w:rFonts w:ascii="Times New Roman" w:hAnsi="Times New Roman" w:cs="Times New Roman"/>
                <w:b/>
                <w:i/>
                <w:sz w:val="20"/>
                <w:szCs w:val="20"/>
                <w:lang w:val="en-US"/>
              </w:rPr>
              <w:t>Value</w:t>
            </w:r>
          </w:p>
        </w:tc>
        <w:tc>
          <w:tcPr>
            <w:tcW w:w="2991" w:type="dxa"/>
          </w:tcPr>
          <w:p w14:paraId="39026661"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0"/>
                <w:szCs w:val="20"/>
                <w:lang w:val="en-GB"/>
              </w:rPr>
            </w:pPr>
            <w:r w:rsidRPr="00210933">
              <w:rPr>
                <w:rFonts w:ascii="Times New Roman" w:hAnsi="Times New Roman" w:cs="Times New Roman"/>
                <w:b/>
                <w:i/>
                <w:sz w:val="20"/>
                <w:szCs w:val="20"/>
                <w:lang w:val="en-GB"/>
              </w:rPr>
              <w:t>Unit</w:t>
            </w:r>
          </w:p>
        </w:tc>
      </w:tr>
      <w:tr w:rsidR="00547875" w:rsidRPr="00210933" w14:paraId="7D1CF88E"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24F6742F"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RF plasma power</w:t>
            </w:r>
          </w:p>
        </w:tc>
        <w:tc>
          <w:tcPr>
            <w:tcW w:w="2427" w:type="dxa"/>
          </w:tcPr>
          <w:p w14:paraId="1DD3F463"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1350</w:t>
            </w:r>
          </w:p>
        </w:tc>
        <w:tc>
          <w:tcPr>
            <w:tcW w:w="2991" w:type="dxa"/>
          </w:tcPr>
          <w:p w14:paraId="67532E1D"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W</w:t>
            </w:r>
          </w:p>
        </w:tc>
      </w:tr>
      <w:tr w:rsidR="008F322D" w:rsidRPr="00210933" w14:paraId="16AF308F" w14:textId="77777777" w:rsidTr="00547875">
        <w:trPr>
          <w:trHeight w:val="544"/>
        </w:trPr>
        <w:tc>
          <w:tcPr>
            <w:cnfStyle w:val="001000000000" w:firstRow="0" w:lastRow="0" w:firstColumn="1" w:lastColumn="0" w:oddVBand="0" w:evenVBand="0" w:oddHBand="0" w:evenHBand="0" w:firstRowFirstColumn="0" w:firstRowLastColumn="0" w:lastRowFirstColumn="0" w:lastRowLastColumn="0"/>
            <w:tcW w:w="3608" w:type="dxa"/>
          </w:tcPr>
          <w:p w14:paraId="5B78609C"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b/>
                <w:sz w:val="20"/>
                <w:szCs w:val="20"/>
                <w:lang w:val="en-US"/>
              </w:rPr>
              <w:t xml:space="preserve">ICP-MS/MS Lens Parameters </w:t>
            </w:r>
          </w:p>
        </w:tc>
        <w:tc>
          <w:tcPr>
            <w:tcW w:w="2427" w:type="dxa"/>
          </w:tcPr>
          <w:p w14:paraId="341F38C8"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b/>
                <w:i/>
                <w:sz w:val="20"/>
                <w:szCs w:val="20"/>
                <w:lang w:val="en-US"/>
              </w:rPr>
              <w:t>Value</w:t>
            </w:r>
          </w:p>
        </w:tc>
        <w:tc>
          <w:tcPr>
            <w:tcW w:w="2991" w:type="dxa"/>
          </w:tcPr>
          <w:p w14:paraId="2CD23104"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b/>
                <w:i/>
                <w:sz w:val="20"/>
                <w:szCs w:val="20"/>
                <w:lang w:val="en-GB"/>
              </w:rPr>
              <w:t>Unit</w:t>
            </w:r>
          </w:p>
        </w:tc>
      </w:tr>
      <w:tr w:rsidR="00547875" w:rsidRPr="00210933" w14:paraId="6F354D70"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59E6AA13"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Lens extract 1</w:t>
            </w:r>
          </w:p>
        </w:tc>
        <w:tc>
          <w:tcPr>
            <w:tcW w:w="2427" w:type="dxa"/>
          </w:tcPr>
          <w:p w14:paraId="011789BA"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-2.0</w:t>
            </w:r>
          </w:p>
        </w:tc>
        <w:tc>
          <w:tcPr>
            <w:tcW w:w="2991" w:type="dxa"/>
          </w:tcPr>
          <w:p w14:paraId="7F0B4A7B"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70DDD350"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6AE8B7B3"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Lens extract 2</w:t>
            </w:r>
          </w:p>
        </w:tc>
        <w:tc>
          <w:tcPr>
            <w:tcW w:w="2427" w:type="dxa"/>
          </w:tcPr>
          <w:p w14:paraId="7CDC2B29"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-150</w:t>
            </w:r>
          </w:p>
        </w:tc>
        <w:tc>
          <w:tcPr>
            <w:tcW w:w="2991" w:type="dxa"/>
          </w:tcPr>
          <w:p w14:paraId="2570BBB5"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547875" w:rsidRPr="00210933" w14:paraId="2F3241EE"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0900859F"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Omega bias</w:t>
            </w:r>
          </w:p>
        </w:tc>
        <w:tc>
          <w:tcPr>
            <w:tcW w:w="2427" w:type="dxa"/>
          </w:tcPr>
          <w:p w14:paraId="7412EB6B"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75</w:t>
            </w:r>
          </w:p>
        </w:tc>
        <w:tc>
          <w:tcPr>
            <w:tcW w:w="2991" w:type="dxa"/>
          </w:tcPr>
          <w:p w14:paraId="14DE4CBA"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670E8C7B"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36181071"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Omega lens</w:t>
            </w:r>
          </w:p>
        </w:tc>
        <w:tc>
          <w:tcPr>
            <w:tcW w:w="2427" w:type="dxa"/>
          </w:tcPr>
          <w:p w14:paraId="543B95BE"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7.0</w:t>
            </w:r>
          </w:p>
        </w:tc>
        <w:tc>
          <w:tcPr>
            <w:tcW w:w="2991" w:type="dxa"/>
          </w:tcPr>
          <w:p w14:paraId="0CEC79EF"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547875" w:rsidRPr="00210933" w14:paraId="3EEAB006"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34302F8A"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Q1 entrance</w:t>
            </w:r>
          </w:p>
        </w:tc>
        <w:tc>
          <w:tcPr>
            <w:tcW w:w="2427" w:type="dxa"/>
          </w:tcPr>
          <w:p w14:paraId="379C8757"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2.0</w:t>
            </w:r>
          </w:p>
        </w:tc>
        <w:tc>
          <w:tcPr>
            <w:tcW w:w="2991" w:type="dxa"/>
          </w:tcPr>
          <w:p w14:paraId="0B00F604"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5028D218"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4C6FB557"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Q1 exit</w:t>
            </w:r>
          </w:p>
        </w:tc>
        <w:tc>
          <w:tcPr>
            <w:tcW w:w="2427" w:type="dxa"/>
          </w:tcPr>
          <w:p w14:paraId="748C984E"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-1.0</w:t>
            </w:r>
          </w:p>
        </w:tc>
        <w:tc>
          <w:tcPr>
            <w:tcW w:w="2991" w:type="dxa"/>
          </w:tcPr>
          <w:p w14:paraId="50BBD009"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547875" w:rsidRPr="00210933" w14:paraId="37441E5B"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4910C0FA"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Cell focus</w:t>
            </w:r>
          </w:p>
        </w:tc>
        <w:tc>
          <w:tcPr>
            <w:tcW w:w="2427" w:type="dxa"/>
          </w:tcPr>
          <w:p w14:paraId="22C823FE"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-2.0</w:t>
            </w:r>
          </w:p>
        </w:tc>
        <w:tc>
          <w:tcPr>
            <w:tcW w:w="2991" w:type="dxa"/>
          </w:tcPr>
          <w:p w14:paraId="731993B3"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00E8F0E2"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4B4D6B4A"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Cell entrance</w:t>
            </w:r>
          </w:p>
        </w:tc>
        <w:tc>
          <w:tcPr>
            <w:tcW w:w="2427" w:type="dxa"/>
          </w:tcPr>
          <w:p w14:paraId="7419D4BD"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-100</w:t>
            </w:r>
          </w:p>
        </w:tc>
        <w:tc>
          <w:tcPr>
            <w:tcW w:w="2991" w:type="dxa"/>
          </w:tcPr>
          <w:p w14:paraId="1E035537"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547875" w:rsidRPr="00210933" w14:paraId="1103D12D"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036DAFAC"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Cell exit</w:t>
            </w:r>
          </w:p>
        </w:tc>
        <w:tc>
          <w:tcPr>
            <w:tcW w:w="2427" w:type="dxa"/>
          </w:tcPr>
          <w:p w14:paraId="21F91B5A"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-150</w:t>
            </w:r>
          </w:p>
        </w:tc>
        <w:tc>
          <w:tcPr>
            <w:tcW w:w="2991" w:type="dxa"/>
          </w:tcPr>
          <w:p w14:paraId="6C9AFDB4"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338A53E1"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5A7C6112"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Deflect</w:t>
            </w:r>
          </w:p>
        </w:tc>
        <w:tc>
          <w:tcPr>
            <w:tcW w:w="2427" w:type="dxa"/>
          </w:tcPr>
          <w:p w14:paraId="70A4D271"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-10</w:t>
            </w:r>
          </w:p>
        </w:tc>
        <w:tc>
          <w:tcPr>
            <w:tcW w:w="2991" w:type="dxa"/>
          </w:tcPr>
          <w:p w14:paraId="7E2A3042"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547875" w:rsidRPr="00210933" w14:paraId="31AA7CFB"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5CC0BAF9"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Plate bias</w:t>
            </w:r>
          </w:p>
        </w:tc>
        <w:tc>
          <w:tcPr>
            <w:tcW w:w="2427" w:type="dxa"/>
          </w:tcPr>
          <w:p w14:paraId="68D1D34C"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-80</w:t>
            </w:r>
          </w:p>
        </w:tc>
        <w:tc>
          <w:tcPr>
            <w:tcW w:w="2991" w:type="dxa"/>
          </w:tcPr>
          <w:p w14:paraId="54A3F994"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4EB05AD4" w14:textId="77777777" w:rsidTr="00547875">
        <w:trPr>
          <w:trHeight w:val="583"/>
        </w:trPr>
        <w:tc>
          <w:tcPr>
            <w:cnfStyle w:val="001000000000" w:firstRow="0" w:lastRow="0" w:firstColumn="1" w:lastColumn="0" w:oddVBand="0" w:evenVBand="0" w:oddHBand="0" w:evenHBand="0" w:firstRowFirstColumn="0" w:firstRowLastColumn="0" w:lastRowFirstColumn="0" w:lastRowLastColumn="0"/>
            <w:tcW w:w="3608" w:type="dxa"/>
          </w:tcPr>
          <w:p w14:paraId="74897755"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b/>
                <w:sz w:val="20"/>
                <w:szCs w:val="20"/>
                <w:lang w:val="en-US"/>
              </w:rPr>
              <w:t xml:space="preserve">ICP-MS/MS Q1 Parameters </w:t>
            </w:r>
          </w:p>
        </w:tc>
        <w:tc>
          <w:tcPr>
            <w:tcW w:w="2427" w:type="dxa"/>
          </w:tcPr>
          <w:p w14:paraId="58B3E306"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b/>
                <w:i/>
                <w:sz w:val="20"/>
                <w:szCs w:val="20"/>
                <w:lang w:val="en-US"/>
              </w:rPr>
              <w:t>Value</w:t>
            </w:r>
          </w:p>
        </w:tc>
        <w:tc>
          <w:tcPr>
            <w:tcW w:w="2991" w:type="dxa"/>
          </w:tcPr>
          <w:p w14:paraId="081953CB"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b/>
                <w:i/>
                <w:sz w:val="20"/>
                <w:szCs w:val="20"/>
                <w:lang w:val="en-GB"/>
              </w:rPr>
              <w:t>Unit</w:t>
            </w:r>
          </w:p>
        </w:tc>
      </w:tr>
      <w:tr w:rsidR="00547875" w:rsidRPr="00210933" w14:paraId="24E5ECB5"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5E9946D0"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Q1 bias</w:t>
            </w:r>
          </w:p>
        </w:tc>
        <w:tc>
          <w:tcPr>
            <w:tcW w:w="2427" w:type="dxa"/>
          </w:tcPr>
          <w:p w14:paraId="393E8490"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-2.0</w:t>
            </w:r>
          </w:p>
        </w:tc>
        <w:tc>
          <w:tcPr>
            <w:tcW w:w="2991" w:type="dxa"/>
          </w:tcPr>
          <w:p w14:paraId="2E704A7A"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22C2E0AD"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23B6B30C"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Q1 prefilter bias</w:t>
            </w:r>
          </w:p>
        </w:tc>
        <w:tc>
          <w:tcPr>
            <w:tcW w:w="2427" w:type="dxa"/>
          </w:tcPr>
          <w:p w14:paraId="32FF9E4A"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-9.0</w:t>
            </w:r>
          </w:p>
        </w:tc>
        <w:tc>
          <w:tcPr>
            <w:tcW w:w="2991" w:type="dxa"/>
          </w:tcPr>
          <w:p w14:paraId="136848F0"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547875" w:rsidRPr="00210933" w14:paraId="55E2037E"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29321D3F"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Q1 postfilter bias</w:t>
            </w:r>
          </w:p>
        </w:tc>
        <w:tc>
          <w:tcPr>
            <w:tcW w:w="2427" w:type="dxa"/>
          </w:tcPr>
          <w:p w14:paraId="0298CFE9"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-10</w:t>
            </w:r>
          </w:p>
        </w:tc>
        <w:tc>
          <w:tcPr>
            <w:tcW w:w="2991" w:type="dxa"/>
          </w:tcPr>
          <w:p w14:paraId="3B6CBED7"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3FCABBC8" w14:textId="77777777" w:rsidTr="00547875">
        <w:trPr>
          <w:trHeight w:val="554"/>
        </w:trPr>
        <w:tc>
          <w:tcPr>
            <w:cnfStyle w:val="001000000000" w:firstRow="0" w:lastRow="0" w:firstColumn="1" w:lastColumn="0" w:oddVBand="0" w:evenVBand="0" w:oddHBand="0" w:evenHBand="0" w:firstRowFirstColumn="0" w:firstRowLastColumn="0" w:lastRowFirstColumn="0" w:lastRowLastColumn="0"/>
            <w:tcW w:w="3608" w:type="dxa"/>
          </w:tcPr>
          <w:p w14:paraId="5AACCAE5"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b/>
                <w:sz w:val="20"/>
                <w:szCs w:val="20"/>
                <w:lang w:val="en-US"/>
              </w:rPr>
              <w:t xml:space="preserve">ICP-MS/MS Cell Parameters </w:t>
            </w:r>
          </w:p>
        </w:tc>
        <w:tc>
          <w:tcPr>
            <w:tcW w:w="2427" w:type="dxa"/>
          </w:tcPr>
          <w:p w14:paraId="31F09007"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b/>
                <w:i/>
                <w:sz w:val="20"/>
                <w:szCs w:val="20"/>
                <w:lang w:val="en-US"/>
              </w:rPr>
              <w:t>Value</w:t>
            </w:r>
          </w:p>
        </w:tc>
        <w:tc>
          <w:tcPr>
            <w:tcW w:w="2991" w:type="dxa"/>
          </w:tcPr>
          <w:p w14:paraId="74D23867"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b/>
                <w:i/>
                <w:sz w:val="20"/>
                <w:szCs w:val="20"/>
                <w:lang w:val="en-GB"/>
              </w:rPr>
              <w:t>Unit</w:t>
            </w:r>
          </w:p>
        </w:tc>
      </w:tr>
      <w:tr w:rsidR="00547875" w:rsidRPr="00210933" w14:paraId="6299A468"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5F92C4F1"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lastRenderedPageBreak/>
              <w:t>N</w:t>
            </w:r>
            <w:r w:rsidRPr="00210933">
              <w:rPr>
                <w:rFonts w:ascii="Times New Roman" w:hAnsi="Times New Roman" w:cs="Times New Roman"/>
                <w:sz w:val="20"/>
                <w:szCs w:val="20"/>
                <w:vertAlign w:val="subscript"/>
                <w:lang w:val="en-US"/>
              </w:rPr>
              <w:t>2</w:t>
            </w:r>
            <w:r w:rsidRPr="00210933">
              <w:rPr>
                <w:rFonts w:ascii="Times New Roman" w:hAnsi="Times New Roman" w:cs="Times New Roman"/>
                <w:sz w:val="20"/>
                <w:szCs w:val="20"/>
                <w:lang w:val="en-US"/>
              </w:rPr>
              <w:t>O flow rate</w:t>
            </w:r>
          </w:p>
        </w:tc>
        <w:tc>
          <w:tcPr>
            <w:tcW w:w="2427" w:type="dxa"/>
          </w:tcPr>
          <w:p w14:paraId="1C9A30DD"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0.37</w:t>
            </w:r>
          </w:p>
        </w:tc>
        <w:tc>
          <w:tcPr>
            <w:tcW w:w="2991" w:type="dxa"/>
          </w:tcPr>
          <w:p w14:paraId="6251438F"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mL/min</w:t>
            </w:r>
          </w:p>
        </w:tc>
      </w:tr>
      <w:tr w:rsidR="008F322D" w:rsidRPr="00210933" w14:paraId="0E01504A"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3B45135B" w14:textId="77777777" w:rsidR="008F322D" w:rsidRPr="00210933" w:rsidRDefault="008F322D" w:rsidP="008F322D">
            <w:pPr>
              <w:spacing w:after="160" w:line="480" w:lineRule="auto"/>
              <w:rPr>
                <w:rFonts w:ascii="Times New Roman" w:hAnsi="Times New Roman" w:cs="Times New Roman"/>
                <w:sz w:val="20"/>
                <w:szCs w:val="20"/>
                <w:lang w:val="en-US"/>
              </w:rPr>
            </w:pPr>
            <w:proofErr w:type="spellStart"/>
            <w:r w:rsidRPr="00210933">
              <w:rPr>
                <w:rFonts w:ascii="Times New Roman" w:hAnsi="Times New Roman" w:cs="Times New Roman"/>
                <w:sz w:val="20"/>
                <w:szCs w:val="20"/>
                <w:lang w:val="en-US"/>
              </w:rPr>
              <w:t>OctP</w:t>
            </w:r>
            <w:proofErr w:type="spellEnd"/>
            <w:r w:rsidRPr="00210933">
              <w:rPr>
                <w:rFonts w:ascii="Times New Roman" w:hAnsi="Times New Roman" w:cs="Times New Roman"/>
                <w:sz w:val="20"/>
                <w:szCs w:val="20"/>
                <w:lang w:val="en-US"/>
              </w:rPr>
              <w:t xml:space="preserve"> bias</w:t>
            </w:r>
          </w:p>
        </w:tc>
        <w:tc>
          <w:tcPr>
            <w:tcW w:w="2427" w:type="dxa"/>
          </w:tcPr>
          <w:p w14:paraId="64046146"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-23</w:t>
            </w:r>
          </w:p>
        </w:tc>
        <w:tc>
          <w:tcPr>
            <w:tcW w:w="2991" w:type="dxa"/>
          </w:tcPr>
          <w:p w14:paraId="1714A4C1"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547875" w:rsidRPr="00210933" w14:paraId="5C13644D"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6371E7FE"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Axial acceleration</w:t>
            </w:r>
          </w:p>
        </w:tc>
        <w:tc>
          <w:tcPr>
            <w:tcW w:w="2427" w:type="dxa"/>
          </w:tcPr>
          <w:p w14:paraId="23DDF58F"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2.0</w:t>
            </w:r>
          </w:p>
        </w:tc>
        <w:tc>
          <w:tcPr>
            <w:tcW w:w="2991" w:type="dxa"/>
          </w:tcPr>
          <w:p w14:paraId="15223336"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6BCE6AF5"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6EFBB4F6" w14:textId="77777777" w:rsidR="008F322D" w:rsidRPr="00210933" w:rsidRDefault="008F322D" w:rsidP="008F322D">
            <w:pPr>
              <w:spacing w:after="160" w:line="480" w:lineRule="auto"/>
              <w:rPr>
                <w:rFonts w:ascii="Times New Roman" w:hAnsi="Times New Roman" w:cs="Times New Roman"/>
                <w:sz w:val="20"/>
                <w:szCs w:val="20"/>
                <w:lang w:val="en-US"/>
              </w:rPr>
            </w:pPr>
            <w:proofErr w:type="spellStart"/>
            <w:r w:rsidRPr="00210933">
              <w:rPr>
                <w:rFonts w:ascii="Times New Roman" w:hAnsi="Times New Roman" w:cs="Times New Roman"/>
                <w:sz w:val="20"/>
                <w:szCs w:val="20"/>
                <w:lang w:val="en-US"/>
              </w:rPr>
              <w:t>OctP</w:t>
            </w:r>
            <w:proofErr w:type="spellEnd"/>
            <w:r w:rsidRPr="00210933">
              <w:rPr>
                <w:rFonts w:ascii="Times New Roman" w:hAnsi="Times New Roman" w:cs="Times New Roman"/>
                <w:sz w:val="20"/>
                <w:szCs w:val="20"/>
                <w:lang w:val="en-US"/>
              </w:rPr>
              <w:t xml:space="preserve"> RF</w:t>
            </w:r>
          </w:p>
        </w:tc>
        <w:tc>
          <w:tcPr>
            <w:tcW w:w="2427" w:type="dxa"/>
          </w:tcPr>
          <w:p w14:paraId="495A3D26"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180</w:t>
            </w:r>
          </w:p>
        </w:tc>
        <w:tc>
          <w:tcPr>
            <w:tcW w:w="2991" w:type="dxa"/>
          </w:tcPr>
          <w:p w14:paraId="25E8B758"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547875" w:rsidRPr="00210933" w14:paraId="24423048"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68EA177C"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Energy discrimination</w:t>
            </w:r>
          </w:p>
        </w:tc>
        <w:tc>
          <w:tcPr>
            <w:tcW w:w="2427" w:type="dxa"/>
          </w:tcPr>
          <w:p w14:paraId="7793F232"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-10</w:t>
            </w:r>
          </w:p>
        </w:tc>
        <w:tc>
          <w:tcPr>
            <w:tcW w:w="2991" w:type="dxa"/>
          </w:tcPr>
          <w:p w14:paraId="01BF5590"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r w:rsidR="008F322D" w:rsidRPr="00210933" w14:paraId="1C45FEF3" w14:textId="77777777" w:rsidTr="00547875">
        <w:tc>
          <w:tcPr>
            <w:cnfStyle w:val="001000000000" w:firstRow="0" w:lastRow="0" w:firstColumn="1" w:lastColumn="0" w:oddVBand="0" w:evenVBand="0" w:oddHBand="0" w:evenHBand="0" w:firstRowFirstColumn="0" w:firstRowLastColumn="0" w:lastRowFirstColumn="0" w:lastRowLastColumn="0"/>
            <w:tcW w:w="3608" w:type="dxa"/>
          </w:tcPr>
          <w:p w14:paraId="1A431221"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b/>
                <w:sz w:val="20"/>
                <w:szCs w:val="20"/>
                <w:lang w:val="en-US"/>
              </w:rPr>
              <w:t xml:space="preserve">ICP-MS/MS Q2 Parameters </w:t>
            </w:r>
          </w:p>
        </w:tc>
        <w:tc>
          <w:tcPr>
            <w:tcW w:w="2427" w:type="dxa"/>
          </w:tcPr>
          <w:p w14:paraId="1A1B298C"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b/>
                <w:i/>
                <w:sz w:val="20"/>
                <w:szCs w:val="20"/>
                <w:lang w:val="en-US"/>
              </w:rPr>
              <w:t>Value</w:t>
            </w:r>
          </w:p>
        </w:tc>
        <w:tc>
          <w:tcPr>
            <w:tcW w:w="2991" w:type="dxa"/>
          </w:tcPr>
          <w:p w14:paraId="1F15A41F" w14:textId="77777777" w:rsidR="008F322D" w:rsidRPr="00210933" w:rsidRDefault="008F322D" w:rsidP="008F322D">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b/>
                <w:i/>
                <w:sz w:val="20"/>
                <w:szCs w:val="20"/>
                <w:lang w:val="en-GB"/>
              </w:rPr>
              <w:t>Unit</w:t>
            </w:r>
          </w:p>
        </w:tc>
      </w:tr>
      <w:tr w:rsidR="00547875" w:rsidRPr="00210933" w14:paraId="50770EAA" w14:textId="77777777" w:rsidTr="005478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445260E8" w14:textId="77777777" w:rsidR="008F322D" w:rsidRPr="00210933" w:rsidRDefault="008F322D" w:rsidP="008F322D">
            <w:pPr>
              <w:spacing w:after="160" w:line="480" w:lineRule="auto"/>
              <w:rPr>
                <w:rFonts w:ascii="Times New Roman" w:hAnsi="Times New Roman" w:cs="Times New Roman"/>
                <w:sz w:val="20"/>
                <w:szCs w:val="20"/>
                <w:lang w:val="en-US"/>
              </w:rPr>
            </w:pPr>
            <w:r w:rsidRPr="00210933">
              <w:rPr>
                <w:rFonts w:ascii="Times New Roman" w:hAnsi="Times New Roman" w:cs="Times New Roman"/>
                <w:sz w:val="20"/>
                <w:szCs w:val="20"/>
                <w:lang w:val="en-US"/>
              </w:rPr>
              <w:t>Q2 bias</w:t>
            </w:r>
          </w:p>
        </w:tc>
        <w:tc>
          <w:tcPr>
            <w:tcW w:w="2427" w:type="dxa"/>
          </w:tcPr>
          <w:p w14:paraId="275C79B4"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210933">
              <w:rPr>
                <w:rFonts w:ascii="Times New Roman" w:hAnsi="Times New Roman" w:cs="Times New Roman"/>
                <w:sz w:val="20"/>
                <w:szCs w:val="20"/>
                <w:lang w:val="en-US"/>
              </w:rPr>
              <w:t>-33</w:t>
            </w:r>
          </w:p>
        </w:tc>
        <w:tc>
          <w:tcPr>
            <w:tcW w:w="2991" w:type="dxa"/>
          </w:tcPr>
          <w:p w14:paraId="21B5A491" w14:textId="77777777" w:rsidR="008F322D" w:rsidRPr="00210933" w:rsidRDefault="008F322D" w:rsidP="008F322D">
            <w:pPr>
              <w:spacing w:after="160"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10933">
              <w:rPr>
                <w:rFonts w:ascii="Times New Roman" w:hAnsi="Times New Roman" w:cs="Times New Roman"/>
                <w:sz w:val="20"/>
                <w:szCs w:val="20"/>
                <w:lang w:val="en-GB"/>
              </w:rPr>
              <w:t>V</w:t>
            </w:r>
          </w:p>
        </w:tc>
      </w:tr>
    </w:tbl>
    <w:bookmarkEnd w:id="1"/>
    <w:p w14:paraId="7B1C8348" w14:textId="5F5D109A" w:rsidR="00BF4BBB" w:rsidRPr="00210933" w:rsidRDefault="006A23DC" w:rsidP="00072F0B">
      <w:pPr>
        <w:spacing w:line="480" w:lineRule="auto"/>
        <w:rPr>
          <w:rFonts w:ascii="Times New Roman" w:hAnsi="Times New Roman" w:cs="Times New Roman"/>
          <w:sz w:val="20"/>
          <w:szCs w:val="20"/>
        </w:rPr>
      </w:pPr>
      <w:r>
        <w:rPr>
          <w:rFonts w:ascii="Times New Roman" w:hAnsi="Times New Roman" w:cs="Times New Roman"/>
          <w:sz w:val="20"/>
          <w:szCs w:val="20"/>
        </w:rPr>
        <w:t>Table S1</w:t>
      </w:r>
      <w:r w:rsidR="00547875" w:rsidRPr="00210933">
        <w:rPr>
          <w:rFonts w:ascii="Times New Roman" w:hAnsi="Times New Roman" w:cs="Times New Roman"/>
          <w:sz w:val="20"/>
          <w:szCs w:val="20"/>
        </w:rPr>
        <w:t>. LA-ICP-MS/MS instrumental parameters following Redaa et al. (2021)</w:t>
      </w:r>
    </w:p>
    <w:p w14:paraId="4E5C12EA" w14:textId="145D3A5F" w:rsidR="004701AF" w:rsidRPr="00210933" w:rsidRDefault="00210933" w:rsidP="00210933">
      <w:pPr>
        <w:pStyle w:val="ListParagraph"/>
        <w:numPr>
          <w:ilvl w:val="0"/>
          <w:numId w:val="3"/>
        </w:numPr>
        <w:spacing w:line="480" w:lineRule="auto"/>
        <w:rPr>
          <w:rFonts w:ascii="Times New Roman" w:hAnsi="Times New Roman" w:cs="Times New Roman"/>
          <w:b/>
          <w:bCs/>
          <w:sz w:val="20"/>
          <w:szCs w:val="20"/>
        </w:rPr>
      </w:pPr>
      <w:r w:rsidRPr="00210933">
        <w:rPr>
          <w:rFonts w:ascii="Times New Roman" w:hAnsi="Times New Roman" w:cs="Times New Roman"/>
          <w:b/>
          <w:bCs/>
          <w:sz w:val="20"/>
          <w:szCs w:val="20"/>
        </w:rPr>
        <w:t>Petrography And Mineralogy</w:t>
      </w:r>
    </w:p>
    <w:p w14:paraId="396FB7EA" w14:textId="3FA0E82D" w:rsidR="00A819F8" w:rsidRPr="00210933" w:rsidRDefault="00B27863" w:rsidP="00210933">
      <w:pPr>
        <w:spacing w:line="480" w:lineRule="auto"/>
        <w:rPr>
          <w:rFonts w:ascii="Times New Roman" w:hAnsi="Times New Roman" w:cs="Times New Roman"/>
          <w:sz w:val="20"/>
          <w:szCs w:val="20"/>
        </w:rPr>
      </w:pPr>
      <w:r w:rsidRPr="00210933">
        <w:rPr>
          <w:rFonts w:ascii="Times New Roman" w:hAnsi="Times New Roman" w:cs="Times New Roman"/>
          <w:sz w:val="20"/>
          <w:szCs w:val="20"/>
        </w:rPr>
        <w:t xml:space="preserve">High resolution SEM-EDS MLA mapping and bulk XRD analysis showed that quartz was the most abundant mineral phase in </w:t>
      </w:r>
      <w:r w:rsidR="00A819F8" w:rsidRPr="00210933">
        <w:rPr>
          <w:rFonts w:ascii="Times New Roman" w:hAnsi="Times New Roman" w:cs="Times New Roman"/>
          <w:sz w:val="20"/>
          <w:szCs w:val="20"/>
        </w:rPr>
        <w:t>all samples selected for in situ laser ablation investigation in this study.</w:t>
      </w:r>
      <w:r w:rsidRPr="00210933">
        <w:rPr>
          <w:rFonts w:ascii="Times New Roman" w:hAnsi="Times New Roman" w:cs="Times New Roman"/>
          <w:sz w:val="20"/>
          <w:szCs w:val="20"/>
        </w:rPr>
        <w:t xml:space="preserve"> </w:t>
      </w:r>
      <w:r w:rsidR="00A819F8" w:rsidRPr="00210933">
        <w:rPr>
          <w:rFonts w:ascii="Times New Roman" w:hAnsi="Times New Roman" w:cs="Times New Roman"/>
          <w:sz w:val="20"/>
          <w:szCs w:val="20"/>
        </w:rPr>
        <w:t>T</w:t>
      </w:r>
      <w:r w:rsidRPr="00210933">
        <w:rPr>
          <w:rFonts w:ascii="Times New Roman" w:hAnsi="Times New Roman" w:cs="Times New Roman"/>
          <w:sz w:val="20"/>
          <w:szCs w:val="20"/>
        </w:rPr>
        <w:t>hey are the main detrital component, with grain size</w:t>
      </w:r>
      <w:r w:rsidR="00EA6D6F" w:rsidRPr="00210933">
        <w:rPr>
          <w:rFonts w:ascii="Times New Roman" w:hAnsi="Times New Roman" w:cs="Times New Roman"/>
          <w:sz w:val="20"/>
          <w:szCs w:val="20"/>
        </w:rPr>
        <w:t>s</w:t>
      </w:r>
      <w:r w:rsidRPr="00210933">
        <w:rPr>
          <w:rFonts w:ascii="Times New Roman" w:hAnsi="Times New Roman" w:cs="Times New Roman"/>
          <w:sz w:val="20"/>
          <w:szCs w:val="20"/>
        </w:rPr>
        <w:t xml:space="preserve"> ranging from &lt; 10 </w:t>
      </w:r>
      <w:proofErr w:type="spellStart"/>
      <w:r w:rsidRPr="00210933">
        <w:rPr>
          <w:rFonts w:ascii="Times New Roman" w:hAnsi="Times New Roman" w:cs="Times New Roman"/>
          <w:sz w:val="20"/>
          <w:szCs w:val="20"/>
        </w:rPr>
        <w:t>μm</w:t>
      </w:r>
      <w:proofErr w:type="spellEnd"/>
      <w:r w:rsidRPr="00210933">
        <w:rPr>
          <w:rFonts w:ascii="Times New Roman" w:hAnsi="Times New Roman" w:cs="Times New Roman"/>
          <w:sz w:val="20"/>
          <w:szCs w:val="20"/>
        </w:rPr>
        <w:t xml:space="preserve"> and up to 50 </w:t>
      </w:r>
      <w:proofErr w:type="spellStart"/>
      <w:r w:rsidRPr="00210933">
        <w:rPr>
          <w:rFonts w:ascii="Times New Roman" w:hAnsi="Times New Roman" w:cs="Times New Roman"/>
          <w:sz w:val="20"/>
          <w:szCs w:val="20"/>
        </w:rPr>
        <w:t>μm</w:t>
      </w:r>
      <w:proofErr w:type="spellEnd"/>
      <w:r w:rsidRPr="00210933">
        <w:rPr>
          <w:rFonts w:ascii="Times New Roman" w:hAnsi="Times New Roman" w:cs="Times New Roman"/>
          <w:sz w:val="20"/>
          <w:szCs w:val="20"/>
        </w:rPr>
        <w:t xml:space="preserve">. </w:t>
      </w:r>
      <w:r w:rsidR="00EA6D6F" w:rsidRPr="00210933">
        <w:rPr>
          <w:rFonts w:ascii="Times New Roman" w:hAnsi="Times New Roman" w:cs="Times New Roman"/>
          <w:sz w:val="20"/>
          <w:szCs w:val="20"/>
        </w:rPr>
        <w:t>They are commonly sub-angular in coarser layers and more sub-rounded in finer interbeds</w:t>
      </w:r>
      <w:r w:rsidR="00A819F8" w:rsidRPr="00210933">
        <w:rPr>
          <w:rFonts w:ascii="Times New Roman" w:hAnsi="Times New Roman" w:cs="Times New Roman"/>
          <w:sz w:val="20"/>
          <w:szCs w:val="20"/>
        </w:rPr>
        <w:t>. Quartz has negligible Rb and Sr, so does not influence our results.</w:t>
      </w:r>
    </w:p>
    <w:p w14:paraId="054907FD" w14:textId="1590E4B6" w:rsidR="00547875" w:rsidRPr="00210933" w:rsidRDefault="00911DE1" w:rsidP="00210933">
      <w:pPr>
        <w:spacing w:line="480" w:lineRule="auto"/>
        <w:rPr>
          <w:rFonts w:ascii="Times New Roman" w:hAnsi="Times New Roman" w:cs="Times New Roman"/>
          <w:sz w:val="20"/>
          <w:szCs w:val="20"/>
        </w:rPr>
      </w:pPr>
      <w:r w:rsidRPr="00210933">
        <w:rPr>
          <w:rFonts w:ascii="Times New Roman" w:hAnsi="Times New Roman" w:cs="Times New Roman"/>
          <w:sz w:val="20"/>
          <w:szCs w:val="20"/>
        </w:rPr>
        <w:t xml:space="preserve">All Upper and Middle Velkerri Formation had similar mineral assemblages based on bulk XRD and SEM-EDS mineral mapping. </w:t>
      </w:r>
      <w:r w:rsidR="00B27863" w:rsidRPr="00210933">
        <w:rPr>
          <w:rFonts w:ascii="Times New Roman" w:hAnsi="Times New Roman" w:cs="Times New Roman"/>
          <w:sz w:val="20"/>
          <w:szCs w:val="20"/>
        </w:rPr>
        <w:t xml:space="preserve">The sample derived from 415 m </w:t>
      </w:r>
      <w:r w:rsidR="00492DBE" w:rsidRPr="00210933">
        <w:rPr>
          <w:rFonts w:ascii="Times New Roman" w:hAnsi="Times New Roman" w:cs="Times New Roman"/>
          <w:sz w:val="20"/>
          <w:szCs w:val="20"/>
        </w:rPr>
        <w:t xml:space="preserve">and 520 m </w:t>
      </w:r>
      <w:r w:rsidR="00B27863" w:rsidRPr="00210933">
        <w:rPr>
          <w:rFonts w:ascii="Times New Roman" w:hAnsi="Times New Roman" w:cs="Times New Roman"/>
          <w:sz w:val="20"/>
          <w:szCs w:val="20"/>
        </w:rPr>
        <w:t xml:space="preserve">depth </w:t>
      </w:r>
      <w:r w:rsidR="00EA6D6F" w:rsidRPr="00210933">
        <w:rPr>
          <w:rFonts w:ascii="Times New Roman" w:hAnsi="Times New Roman" w:cs="Times New Roman"/>
          <w:sz w:val="20"/>
          <w:szCs w:val="20"/>
        </w:rPr>
        <w:t>w</w:t>
      </w:r>
      <w:r w:rsidR="00492DBE" w:rsidRPr="00210933">
        <w:rPr>
          <w:rFonts w:ascii="Times New Roman" w:hAnsi="Times New Roman" w:cs="Times New Roman"/>
          <w:sz w:val="20"/>
          <w:szCs w:val="20"/>
        </w:rPr>
        <w:t xml:space="preserve">ere </w:t>
      </w:r>
      <w:r w:rsidR="00EA6D6F" w:rsidRPr="00210933">
        <w:rPr>
          <w:rFonts w:ascii="Times New Roman" w:hAnsi="Times New Roman" w:cs="Times New Roman"/>
          <w:sz w:val="20"/>
          <w:szCs w:val="20"/>
        </w:rPr>
        <w:t>matrix-supported siltstone</w:t>
      </w:r>
      <w:r w:rsidR="00492DBE" w:rsidRPr="00210933">
        <w:rPr>
          <w:rFonts w:ascii="Times New Roman" w:hAnsi="Times New Roman" w:cs="Times New Roman"/>
          <w:sz w:val="20"/>
          <w:szCs w:val="20"/>
        </w:rPr>
        <w:t>s</w:t>
      </w:r>
      <w:r w:rsidR="00B00A5D">
        <w:rPr>
          <w:rFonts w:ascii="Times New Roman" w:hAnsi="Times New Roman" w:cs="Times New Roman"/>
          <w:sz w:val="20"/>
          <w:szCs w:val="20"/>
        </w:rPr>
        <w:t xml:space="preserve"> (Figure </w:t>
      </w:r>
      <w:r w:rsidR="006A23DC">
        <w:rPr>
          <w:rFonts w:ascii="Times New Roman" w:hAnsi="Times New Roman" w:cs="Times New Roman"/>
          <w:sz w:val="20"/>
          <w:szCs w:val="20"/>
        </w:rPr>
        <w:t>S</w:t>
      </w:r>
      <w:r w:rsidR="00B00A5D">
        <w:rPr>
          <w:rFonts w:ascii="Times New Roman" w:hAnsi="Times New Roman" w:cs="Times New Roman"/>
          <w:sz w:val="20"/>
          <w:szCs w:val="20"/>
        </w:rPr>
        <w:t>2A-B)</w:t>
      </w:r>
      <w:r w:rsidR="00EA6D6F" w:rsidRPr="00210933">
        <w:rPr>
          <w:rFonts w:ascii="Times New Roman" w:hAnsi="Times New Roman" w:cs="Times New Roman"/>
          <w:sz w:val="20"/>
          <w:szCs w:val="20"/>
        </w:rPr>
        <w:t xml:space="preserve">, with </w:t>
      </w:r>
      <w:proofErr w:type="spellStart"/>
      <w:r w:rsidR="00EA6D6F" w:rsidRPr="00210933">
        <w:rPr>
          <w:rFonts w:ascii="Times New Roman" w:hAnsi="Times New Roman" w:cs="Times New Roman"/>
          <w:sz w:val="20"/>
          <w:szCs w:val="20"/>
        </w:rPr>
        <w:t>illite</w:t>
      </w:r>
      <w:proofErr w:type="spellEnd"/>
      <w:r w:rsidR="00EA6D6F" w:rsidRPr="00210933">
        <w:rPr>
          <w:rFonts w:ascii="Times New Roman" w:hAnsi="Times New Roman" w:cs="Times New Roman"/>
          <w:sz w:val="20"/>
          <w:szCs w:val="20"/>
        </w:rPr>
        <w:t xml:space="preserve"> being the second most dominant mineral phase (ca. 35 wt. %). </w:t>
      </w:r>
      <w:r w:rsidR="00492DBE" w:rsidRPr="00210933">
        <w:rPr>
          <w:rFonts w:ascii="Times New Roman" w:hAnsi="Times New Roman" w:cs="Times New Roman"/>
          <w:sz w:val="20"/>
          <w:szCs w:val="20"/>
        </w:rPr>
        <w:t xml:space="preserve">These samples still preserve its primary sedimentary structures, with well-defined interbedded siltstones and very fine sands. </w:t>
      </w:r>
      <w:proofErr w:type="spellStart"/>
      <w:r w:rsidR="00492DBE" w:rsidRPr="00210933">
        <w:rPr>
          <w:rFonts w:ascii="Times New Roman" w:hAnsi="Times New Roman" w:cs="Times New Roman"/>
          <w:sz w:val="20"/>
          <w:szCs w:val="20"/>
        </w:rPr>
        <w:t>Illite</w:t>
      </w:r>
      <w:proofErr w:type="spellEnd"/>
      <w:r w:rsidR="00492DBE" w:rsidRPr="00210933">
        <w:rPr>
          <w:rFonts w:ascii="Times New Roman" w:hAnsi="Times New Roman" w:cs="Times New Roman"/>
          <w:sz w:val="20"/>
          <w:szCs w:val="20"/>
        </w:rPr>
        <w:t xml:space="preserve"> here is mottled and commonly intergrown with authigenic quartz. Some phases can be seen forming thing elongated interconnected slivers. Furthermore, </w:t>
      </w:r>
      <w:proofErr w:type="spellStart"/>
      <w:r w:rsidR="00492DBE" w:rsidRPr="00210933">
        <w:rPr>
          <w:rFonts w:ascii="Times New Roman" w:hAnsi="Times New Roman" w:cs="Times New Roman"/>
          <w:sz w:val="20"/>
          <w:szCs w:val="20"/>
        </w:rPr>
        <w:t>i</w:t>
      </w:r>
      <w:r w:rsidR="00EA6D6F" w:rsidRPr="00210933">
        <w:rPr>
          <w:rFonts w:ascii="Times New Roman" w:hAnsi="Times New Roman" w:cs="Times New Roman"/>
          <w:sz w:val="20"/>
          <w:szCs w:val="20"/>
        </w:rPr>
        <w:t>llite</w:t>
      </w:r>
      <w:proofErr w:type="spellEnd"/>
      <w:r w:rsidR="00EA6D6F" w:rsidRPr="00210933">
        <w:rPr>
          <w:rFonts w:ascii="Times New Roman" w:hAnsi="Times New Roman" w:cs="Times New Roman"/>
          <w:sz w:val="20"/>
          <w:szCs w:val="20"/>
        </w:rPr>
        <w:t xml:space="preserve"> in th</w:t>
      </w:r>
      <w:r w:rsidR="00492DBE" w:rsidRPr="00210933">
        <w:rPr>
          <w:rFonts w:ascii="Times New Roman" w:hAnsi="Times New Roman" w:cs="Times New Roman"/>
          <w:sz w:val="20"/>
          <w:szCs w:val="20"/>
        </w:rPr>
        <w:t xml:space="preserve">ese </w:t>
      </w:r>
      <w:r w:rsidR="00EA6D6F" w:rsidRPr="00210933">
        <w:rPr>
          <w:rFonts w:ascii="Times New Roman" w:hAnsi="Times New Roman" w:cs="Times New Roman"/>
          <w:sz w:val="20"/>
          <w:szCs w:val="20"/>
        </w:rPr>
        <w:t>sample</w:t>
      </w:r>
      <w:r w:rsidR="00492DBE" w:rsidRPr="00210933">
        <w:rPr>
          <w:rFonts w:ascii="Times New Roman" w:hAnsi="Times New Roman" w:cs="Times New Roman"/>
          <w:sz w:val="20"/>
          <w:szCs w:val="20"/>
        </w:rPr>
        <w:t>s</w:t>
      </w:r>
      <w:r w:rsidR="00EA6D6F" w:rsidRPr="00210933">
        <w:rPr>
          <w:rFonts w:ascii="Times New Roman" w:hAnsi="Times New Roman" w:cs="Times New Roman"/>
          <w:sz w:val="20"/>
          <w:szCs w:val="20"/>
        </w:rPr>
        <w:t xml:space="preserve"> </w:t>
      </w:r>
      <w:r w:rsidR="00492DBE" w:rsidRPr="00210933">
        <w:rPr>
          <w:rFonts w:ascii="Times New Roman" w:hAnsi="Times New Roman" w:cs="Times New Roman"/>
          <w:sz w:val="20"/>
          <w:szCs w:val="20"/>
        </w:rPr>
        <w:t>are</w:t>
      </w:r>
      <w:r w:rsidR="00EA6D6F" w:rsidRPr="00210933">
        <w:rPr>
          <w:rFonts w:ascii="Times New Roman" w:hAnsi="Times New Roman" w:cs="Times New Roman"/>
          <w:sz w:val="20"/>
          <w:szCs w:val="20"/>
        </w:rPr>
        <w:t xml:space="preserve"> dispersed throughout the matrix, filling in pore spaces. </w:t>
      </w:r>
      <w:r w:rsidR="00492DBE" w:rsidRPr="00210933">
        <w:rPr>
          <w:rFonts w:ascii="Times New Roman" w:hAnsi="Times New Roman" w:cs="Times New Roman"/>
          <w:sz w:val="20"/>
          <w:szCs w:val="20"/>
        </w:rPr>
        <w:t xml:space="preserve">These </w:t>
      </w:r>
      <w:proofErr w:type="spellStart"/>
      <w:r w:rsidR="00492DBE" w:rsidRPr="00210933">
        <w:rPr>
          <w:rFonts w:ascii="Times New Roman" w:hAnsi="Times New Roman" w:cs="Times New Roman"/>
          <w:sz w:val="20"/>
          <w:szCs w:val="20"/>
        </w:rPr>
        <w:t>illite</w:t>
      </w:r>
      <w:proofErr w:type="spellEnd"/>
      <w:r w:rsidR="005F3FF5" w:rsidRPr="00210933">
        <w:rPr>
          <w:rFonts w:ascii="Times New Roman" w:hAnsi="Times New Roman" w:cs="Times New Roman"/>
          <w:sz w:val="20"/>
          <w:szCs w:val="20"/>
        </w:rPr>
        <w:t xml:space="preserve"> domains are commonly randomly oriented with respect to bedding. Some </w:t>
      </w:r>
      <w:r w:rsidR="00D61A4B" w:rsidRPr="00210933">
        <w:rPr>
          <w:rFonts w:ascii="Times New Roman" w:hAnsi="Times New Roman" w:cs="Times New Roman"/>
          <w:sz w:val="20"/>
          <w:szCs w:val="20"/>
        </w:rPr>
        <w:t>matrices</w:t>
      </w:r>
      <w:r w:rsidR="005F3FF5" w:rsidRPr="00210933">
        <w:rPr>
          <w:rFonts w:ascii="Times New Roman" w:hAnsi="Times New Roman" w:cs="Times New Roman"/>
          <w:sz w:val="20"/>
          <w:szCs w:val="20"/>
        </w:rPr>
        <w:t xml:space="preserve"> are so fine that individual flakes could not be distinguished. This </w:t>
      </w:r>
      <w:r w:rsidR="00492DBE" w:rsidRPr="00210933">
        <w:rPr>
          <w:rFonts w:ascii="Times New Roman" w:hAnsi="Times New Roman" w:cs="Times New Roman"/>
          <w:sz w:val="20"/>
          <w:szCs w:val="20"/>
        </w:rPr>
        <w:t>can be</w:t>
      </w:r>
      <w:r w:rsidR="005F3FF5" w:rsidRPr="00210933">
        <w:rPr>
          <w:rFonts w:ascii="Times New Roman" w:hAnsi="Times New Roman" w:cs="Times New Roman"/>
          <w:sz w:val="20"/>
          <w:szCs w:val="20"/>
        </w:rPr>
        <w:t xml:space="preserve"> similarly found in the Velkerri Formation shale</w:t>
      </w:r>
      <w:r w:rsidR="00492DBE" w:rsidRPr="00210933">
        <w:rPr>
          <w:rFonts w:ascii="Times New Roman" w:hAnsi="Times New Roman" w:cs="Times New Roman"/>
          <w:sz w:val="20"/>
          <w:szCs w:val="20"/>
        </w:rPr>
        <w:t xml:space="preserve"> from</w:t>
      </w:r>
      <w:r w:rsidR="005F3FF5" w:rsidRPr="00210933">
        <w:rPr>
          <w:rFonts w:ascii="Times New Roman" w:hAnsi="Times New Roman" w:cs="Times New Roman"/>
          <w:sz w:val="20"/>
          <w:szCs w:val="20"/>
        </w:rPr>
        <w:t xml:space="preserve"> 696 m</w:t>
      </w:r>
      <w:r w:rsidR="006A23DC">
        <w:rPr>
          <w:rFonts w:ascii="Times New Roman" w:hAnsi="Times New Roman" w:cs="Times New Roman"/>
          <w:sz w:val="20"/>
          <w:szCs w:val="20"/>
        </w:rPr>
        <w:t xml:space="preserve"> (</w:t>
      </w:r>
      <w:r w:rsidR="00B00A5D">
        <w:rPr>
          <w:rFonts w:ascii="Times New Roman" w:hAnsi="Times New Roman" w:cs="Times New Roman"/>
          <w:sz w:val="20"/>
          <w:szCs w:val="20"/>
        </w:rPr>
        <w:t xml:space="preserve">Figure </w:t>
      </w:r>
      <w:r w:rsidR="006A23DC">
        <w:rPr>
          <w:rFonts w:ascii="Times New Roman" w:hAnsi="Times New Roman" w:cs="Times New Roman"/>
          <w:sz w:val="20"/>
          <w:szCs w:val="20"/>
        </w:rPr>
        <w:t>S</w:t>
      </w:r>
      <w:r w:rsidR="00B00A5D">
        <w:rPr>
          <w:rFonts w:ascii="Times New Roman" w:hAnsi="Times New Roman" w:cs="Times New Roman"/>
          <w:sz w:val="20"/>
          <w:szCs w:val="20"/>
        </w:rPr>
        <w:t>2C)</w:t>
      </w:r>
      <w:r w:rsidR="005F3FF5" w:rsidRPr="00210933">
        <w:rPr>
          <w:rFonts w:ascii="Times New Roman" w:hAnsi="Times New Roman" w:cs="Times New Roman"/>
          <w:sz w:val="20"/>
          <w:szCs w:val="20"/>
        </w:rPr>
        <w:t xml:space="preserve">. </w:t>
      </w:r>
      <w:r w:rsidR="00492DBE" w:rsidRPr="00210933">
        <w:rPr>
          <w:rFonts w:ascii="Times New Roman" w:hAnsi="Times New Roman" w:cs="Times New Roman"/>
          <w:sz w:val="20"/>
          <w:szCs w:val="20"/>
        </w:rPr>
        <w:t xml:space="preserve">However, </w:t>
      </w:r>
      <w:r w:rsidR="00D61A4B" w:rsidRPr="00210933">
        <w:rPr>
          <w:rFonts w:ascii="Times New Roman" w:hAnsi="Times New Roman" w:cs="Times New Roman"/>
          <w:sz w:val="20"/>
          <w:szCs w:val="20"/>
        </w:rPr>
        <w:t>V</w:t>
      </w:r>
      <w:r w:rsidR="00946E38" w:rsidRPr="00210933">
        <w:rPr>
          <w:rFonts w:ascii="Times New Roman" w:hAnsi="Times New Roman" w:cs="Times New Roman"/>
          <w:sz w:val="20"/>
          <w:szCs w:val="20"/>
        </w:rPr>
        <w:t xml:space="preserve">elkerri Formation shale from 696 m was more dominated by detrital quartz and had less </w:t>
      </w:r>
      <w:proofErr w:type="spellStart"/>
      <w:r w:rsidR="00946E38" w:rsidRPr="00210933">
        <w:rPr>
          <w:rFonts w:ascii="Times New Roman" w:hAnsi="Times New Roman" w:cs="Times New Roman"/>
          <w:sz w:val="20"/>
          <w:szCs w:val="20"/>
        </w:rPr>
        <w:t>illite</w:t>
      </w:r>
      <w:proofErr w:type="spellEnd"/>
      <w:r w:rsidR="00946E38" w:rsidRPr="00210933">
        <w:rPr>
          <w:rFonts w:ascii="Times New Roman" w:hAnsi="Times New Roman" w:cs="Times New Roman"/>
          <w:sz w:val="20"/>
          <w:szCs w:val="20"/>
        </w:rPr>
        <w:t xml:space="preserve"> phases within the sample. Some larger flakes of </w:t>
      </w:r>
      <w:proofErr w:type="spellStart"/>
      <w:r w:rsidR="00946E38" w:rsidRPr="00210933">
        <w:rPr>
          <w:rFonts w:ascii="Times New Roman" w:hAnsi="Times New Roman" w:cs="Times New Roman"/>
          <w:sz w:val="20"/>
          <w:szCs w:val="20"/>
        </w:rPr>
        <w:t>illite</w:t>
      </w:r>
      <w:proofErr w:type="spellEnd"/>
      <w:r w:rsidR="00946E38" w:rsidRPr="00210933">
        <w:rPr>
          <w:rFonts w:ascii="Times New Roman" w:hAnsi="Times New Roman" w:cs="Times New Roman"/>
          <w:sz w:val="20"/>
          <w:szCs w:val="20"/>
        </w:rPr>
        <w:t xml:space="preserve"> can be found are likely physical weathering products of biotite. Another less common occurrence of </w:t>
      </w:r>
      <w:proofErr w:type="spellStart"/>
      <w:r w:rsidR="00946E38" w:rsidRPr="00210933">
        <w:rPr>
          <w:rFonts w:ascii="Times New Roman" w:hAnsi="Times New Roman" w:cs="Times New Roman"/>
          <w:sz w:val="20"/>
          <w:szCs w:val="20"/>
        </w:rPr>
        <w:t>illite</w:t>
      </w:r>
      <w:proofErr w:type="spellEnd"/>
      <w:r w:rsidR="00946E38" w:rsidRPr="00210933">
        <w:rPr>
          <w:rFonts w:ascii="Times New Roman" w:hAnsi="Times New Roman" w:cs="Times New Roman"/>
          <w:sz w:val="20"/>
          <w:szCs w:val="20"/>
        </w:rPr>
        <w:t xml:space="preserve"> morphology is the alteration of feldspar. </w:t>
      </w:r>
      <w:r w:rsidR="00492DBE" w:rsidRPr="00210933">
        <w:rPr>
          <w:rFonts w:ascii="Times New Roman" w:hAnsi="Times New Roman" w:cs="Times New Roman"/>
          <w:sz w:val="20"/>
          <w:szCs w:val="20"/>
        </w:rPr>
        <w:t xml:space="preserve">Nevertheless, the matrix supported nature of samples and the presence of </w:t>
      </w:r>
      <w:proofErr w:type="spellStart"/>
      <w:r w:rsidR="00492DBE" w:rsidRPr="00210933">
        <w:rPr>
          <w:rFonts w:ascii="Times New Roman" w:hAnsi="Times New Roman" w:cs="Times New Roman"/>
          <w:sz w:val="20"/>
          <w:szCs w:val="20"/>
        </w:rPr>
        <w:t>illite</w:t>
      </w:r>
      <w:proofErr w:type="spellEnd"/>
      <w:r w:rsidR="00492DBE" w:rsidRPr="00210933">
        <w:rPr>
          <w:rFonts w:ascii="Times New Roman" w:hAnsi="Times New Roman" w:cs="Times New Roman"/>
          <w:sz w:val="20"/>
          <w:szCs w:val="20"/>
        </w:rPr>
        <w:t xml:space="preserve"> compacted concretions are found in other Roper Group shales </w:t>
      </w:r>
      <w:r w:rsidR="00495A3A" w:rsidRPr="00210933">
        <w:rPr>
          <w:rFonts w:ascii="Times New Roman" w:hAnsi="Times New Roman" w:cs="Times New Roman"/>
          <w:sz w:val="20"/>
          <w:szCs w:val="20"/>
        </w:rPr>
        <w:t>and suggest that they originate through reverse weathering processes</w:t>
      </w:r>
      <w:r w:rsidRPr="00210933">
        <w:rPr>
          <w:rFonts w:ascii="Times New Roman" w:hAnsi="Times New Roman" w:cs="Times New Roman"/>
          <w:sz w:val="20"/>
          <w:szCs w:val="20"/>
        </w:rPr>
        <w:t xml:space="preserve"> </w:t>
      </w:r>
      <w:r w:rsidR="00492DBE" w:rsidRPr="00210933">
        <w:rPr>
          <w:rFonts w:ascii="Times New Roman" w:hAnsi="Times New Roman" w:cs="Times New Roman"/>
          <w:sz w:val="20"/>
          <w:szCs w:val="20"/>
        </w:rPr>
        <w:lastRenderedPageBreak/>
        <w:fldChar w:fldCharType="begin">
          <w:fldData xml:space="preserve">PEVuZE5vdGU+PENpdGU+PEF1dGhvcj5SYWZpZWk8L0F1dGhvcj48WWVhcj4yMDE5PC9ZZWFyPjxS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</w:fldData>
        </w:fldChar>
      </w:r>
      <w:r w:rsidR="00495A3A" w:rsidRPr="00210933">
        <w:rPr>
          <w:rFonts w:ascii="Times New Roman" w:hAnsi="Times New Roman" w:cs="Times New Roman"/>
          <w:sz w:val="20"/>
          <w:szCs w:val="20"/>
        </w:rPr>
        <w:instrText xml:space="preserve"> ADDIN EN.CITE </w:instrText>
      </w:r>
      <w:r w:rsidR="00495A3A" w:rsidRPr="00210933">
        <w:rPr>
          <w:rFonts w:ascii="Times New Roman" w:hAnsi="Times New Roman" w:cs="Times New Roman"/>
          <w:sz w:val="20"/>
          <w:szCs w:val="20"/>
        </w:rPr>
        <w:fldChar w:fldCharType="begin">
          <w:fldData xml:space="preserve">PEVuZE5vdGU+PENpdGU+PEF1dGhvcj5SYWZpZWk8L0F1dGhvcj48WWVhcj4yMDE5PC9ZZWFyPjxS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</w:fldData>
        </w:fldChar>
      </w:r>
      <w:r w:rsidR="00495A3A" w:rsidRPr="00210933">
        <w:rPr>
          <w:rFonts w:ascii="Times New Roman" w:hAnsi="Times New Roman" w:cs="Times New Roman"/>
          <w:sz w:val="20"/>
          <w:szCs w:val="20"/>
        </w:rPr>
        <w:instrText xml:space="preserve"> ADDIN EN.CITE.DATA </w:instrText>
      </w:r>
      <w:r w:rsidR="00495A3A" w:rsidRPr="00210933">
        <w:rPr>
          <w:rFonts w:ascii="Times New Roman" w:hAnsi="Times New Roman" w:cs="Times New Roman"/>
          <w:sz w:val="20"/>
          <w:szCs w:val="20"/>
        </w:rPr>
      </w:r>
      <w:r w:rsidR="00495A3A" w:rsidRPr="00210933">
        <w:rPr>
          <w:rFonts w:ascii="Times New Roman" w:hAnsi="Times New Roman" w:cs="Times New Roman"/>
          <w:sz w:val="20"/>
          <w:szCs w:val="20"/>
        </w:rPr>
        <w:fldChar w:fldCharType="end"/>
      </w:r>
      <w:r w:rsidR="00492DBE" w:rsidRPr="00210933">
        <w:rPr>
          <w:rFonts w:ascii="Times New Roman" w:hAnsi="Times New Roman" w:cs="Times New Roman"/>
          <w:sz w:val="20"/>
          <w:szCs w:val="20"/>
        </w:rPr>
      </w:r>
      <w:r w:rsidR="00492DBE" w:rsidRPr="00210933">
        <w:rPr>
          <w:rFonts w:ascii="Times New Roman" w:hAnsi="Times New Roman" w:cs="Times New Roman"/>
          <w:sz w:val="20"/>
          <w:szCs w:val="20"/>
        </w:rPr>
        <w:fldChar w:fldCharType="separate"/>
      </w:r>
      <w:r w:rsidR="00495A3A" w:rsidRPr="00210933">
        <w:rPr>
          <w:rFonts w:ascii="Times New Roman" w:hAnsi="Times New Roman" w:cs="Times New Roman"/>
          <w:noProof/>
          <w:sz w:val="20"/>
          <w:szCs w:val="20"/>
        </w:rPr>
        <w:t>(Rafiei and Kennedy, 2019; Subarkah et al., 2021)</w:t>
      </w:r>
      <w:r w:rsidR="00492DBE" w:rsidRPr="00210933">
        <w:rPr>
          <w:rFonts w:ascii="Times New Roman" w:hAnsi="Times New Roman" w:cs="Times New Roman"/>
          <w:sz w:val="20"/>
          <w:szCs w:val="20"/>
        </w:rPr>
        <w:fldChar w:fldCharType="end"/>
      </w:r>
      <w:r w:rsidR="00495A3A" w:rsidRPr="00210933">
        <w:rPr>
          <w:rFonts w:ascii="Times New Roman" w:hAnsi="Times New Roman" w:cs="Times New Roman"/>
          <w:sz w:val="20"/>
          <w:szCs w:val="20"/>
        </w:rPr>
        <w:t xml:space="preserve">. </w:t>
      </w:r>
      <w:r w:rsidR="00D61A4B" w:rsidRPr="00210933">
        <w:rPr>
          <w:rFonts w:ascii="Times New Roman" w:hAnsi="Times New Roman" w:cs="Times New Roman"/>
          <w:sz w:val="20"/>
          <w:szCs w:val="20"/>
        </w:rPr>
        <w:t xml:space="preserve">These are the dominant mineralogy in each sample. Therefore, we conclude that the Rb‒Sr data collected from each spot analysis are derived predominantly from </w:t>
      </w:r>
      <w:proofErr w:type="spellStart"/>
      <w:r w:rsidR="00D61A4B" w:rsidRPr="00210933">
        <w:rPr>
          <w:rFonts w:ascii="Times New Roman" w:hAnsi="Times New Roman" w:cs="Times New Roman"/>
          <w:sz w:val="20"/>
          <w:szCs w:val="20"/>
        </w:rPr>
        <w:t>cogentic</w:t>
      </w:r>
      <w:proofErr w:type="spellEnd"/>
      <w:r w:rsidR="00D61A4B" w:rsidRPr="00210933">
        <w:rPr>
          <w:rFonts w:ascii="Times New Roman" w:hAnsi="Times New Roman" w:cs="Times New Roman"/>
          <w:sz w:val="20"/>
          <w:szCs w:val="20"/>
        </w:rPr>
        <w:t xml:space="preserve"> K-hosting (and therefore </w:t>
      </w:r>
      <w:proofErr w:type="spellStart"/>
      <w:r w:rsidR="00D61A4B" w:rsidRPr="00210933">
        <w:rPr>
          <w:rFonts w:ascii="Times New Roman" w:hAnsi="Times New Roman" w:cs="Times New Roman"/>
          <w:sz w:val="20"/>
          <w:szCs w:val="20"/>
        </w:rPr>
        <w:t>Rb</w:t>
      </w:r>
      <w:proofErr w:type="spellEnd"/>
      <w:r w:rsidR="00D61A4B" w:rsidRPr="00210933">
        <w:rPr>
          <w:rFonts w:ascii="Times New Roman" w:hAnsi="Times New Roman" w:cs="Times New Roman"/>
          <w:sz w:val="20"/>
          <w:szCs w:val="20"/>
        </w:rPr>
        <w:t xml:space="preserve">-bearing) </w:t>
      </w:r>
      <w:proofErr w:type="spellStart"/>
      <w:r w:rsidR="00D61A4B" w:rsidRPr="00210933">
        <w:rPr>
          <w:rFonts w:ascii="Times New Roman" w:hAnsi="Times New Roman" w:cs="Times New Roman"/>
          <w:sz w:val="20"/>
          <w:szCs w:val="20"/>
        </w:rPr>
        <w:t>illites</w:t>
      </w:r>
      <w:proofErr w:type="spellEnd"/>
      <w:r w:rsidR="00D61A4B" w:rsidRPr="00210933">
        <w:rPr>
          <w:rFonts w:ascii="Times New Roman" w:hAnsi="Times New Roman" w:cs="Times New Roman"/>
          <w:sz w:val="20"/>
          <w:szCs w:val="20"/>
        </w:rPr>
        <w:t xml:space="preserve">. </w:t>
      </w:r>
    </w:p>
    <w:p w14:paraId="2F30A1CE" w14:textId="7D0AEB0F" w:rsidR="008D6DB6" w:rsidRPr="00210933" w:rsidRDefault="008D6DB6" w:rsidP="00072F0B">
      <w:pPr>
        <w:spacing w:line="480" w:lineRule="auto"/>
        <w:rPr>
          <w:rFonts w:ascii="Times New Roman" w:hAnsi="Times New Roman" w:cs="Times New Roman"/>
          <w:sz w:val="20"/>
          <w:szCs w:val="20"/>
        </w:rPr>
      </w:pPr>
      <w:r w:rsidRPr="00210933">
        <w:rPr>
          <w:rFonts w:ascii="Times New Roman" w:hAnsi="Times New Roman" w:cs="Times New Roman"/>
          <w:sz w:val="20"/>
          <w:szCs w:val="20"/>
        </w:rPr>
        <w:t>The Lower Velkerri Formation shale</w:t>
      </w:r>
      <w:r w:rsidR="00911DE1" w:rsidRPr="00210933">
        <w:rPr>
          <w:rFonts w:ascii="Times New Roman" w:hAnsi="Times New Roman" w:cs="Times New Roman"/>
          <w:sz w:val="20"/>
          <w:szCs w:val="20"/>
        </w:rPr>
        <w:t>s</w:t>
      </w:r>
      <w:r w:rsidRPr="00210933">
        <w:rPr>
          <w:rFonts w:ascii="Times New Roman" w:hAnsi="Times New Roman" w:cs="Times New Roman"/>
          <w:sz w:val="20"/>
          <w:szCs w:val="20"/>
        </w:rPr>
        <w:t xml:space="preserve"> consisted of similar mineral assemblages compared to samples from the Upper and Middle Velkerri Formation. However, th</w:t>
      </w:r>
      <w:r w:rsidR="00911DE1" w:rsidRPr="00210933">
        <w:rPr>
          <w:rFonts w:ascii="Times New Roman" w:hAnsi="Times New Roman" w:cs="Times New Roman"/>
          <w:sz w:val="20"/>
          <w:szCs w:val="20"/>
        </w:rPr>
        <w:t>ese</w:t>
      </w:r>
      <w:r w:rsidRPr="00210933">
        <w:rPr>
          <w:rFonts w:ascii="Times New Roman" w:hAnsi="Times New Roman" w:cs="Times New Roman"/>
          <w:sz w:val="20"/>
          <w:szCs w:val="20"/>
        </w:rPr>
        <w:t xml:space="preserve"> sample</w:t>
      </w:r>
      <w:r w:rsidR="00911DE1" w:rsidRPr="00210933">
        <w:rPr>
          <w:rFonts w:ascii="Times New Roman" w:hAnsi="Times New Roman" w:cs="Times New Roman"/>
          <w:sz w:val="20"/>
          <w:szCs w:val="20"/>
        </w:rPr>
        <w:t>s</w:t>
      </w:r>
      <w:r w:rsidRPr="00210933">
        <w:rPr>
          <w:rFonts w:ascii="Times New Roman" w:hAnsi="Times New Roman" w:cs="Times New Roman"/>
          <w:sz w:val="20"/>
          <w:szCs w:val="20"/>
        </w:rPr>
        <w:t xml:space="preserve"> did not preserve primary sedimentary textures as the previous subset. </w:t>
      </w:r>
      <w:r w:rsidR="00911DE1" w:rsidRPr="00210933">
        <w:rPr>
          <w:rFonts w:ascii="Times New Roman" w:hAnsi="Times New Roman" w:cs="Times New Roman"/>
          <w:sz w:val="20"/>
          <w:szCs w:val="20"/>
        </w:rPr>
        <w:t>The sample sourced from 938 m depth had</w:t>
      </w:r>
      <w:r w:rsidRPr="00210933">
        <w:rPr>
          <w:rFonts w:ascii="Times New Roman" w:hAnsi="Times New Roman" w:cs="Times New Roman"/>
          <w:sz w:val="20"/>
          <w:szCs w:val="20"/>
        </w:rPr>
        <w:t xml:space="preserve"> </w:t>
      </w:r>
      <w:proofErr w:type="spellStart"/>
      <w:r w:rsidRPr="00210933">
        <w:rPr>
          <w:rFonts w:ascii="Times New Roman" w:hAnsi="Times New Roman" w:cs="Times New Roman"/>
          <w:sz w:val="20"/>
          <w:szCs w:val="20"/>
        </w:rPr>
        <w:t>illite</w:t>
      </w:r>
      <w:proofErr w:type="spellEnd"/>
      <w:r w:rsidRPr="00210933">
        <w:rPr>
          <w:rFonts w:ascii="Times New Roman" w:hAnsi="Times New Roman" w:cs="Times New Roman"/>
          <w:sz w:val="20"/>
          <w:szCs w:val="20"/>
        </w:rPr>
        <w:t xml:space="preserve"> matri</w:t>
      </w:r>
      <w:r w:rsidR="00911DE1" w:rsidRPr="00210933">
        <w:rPr>
          <w:rFonts w:ascii="Times New Roman" w:hAnsi="Times New Roman" w:cs="Times New Roman"/>
          <w:sz w:val="20"/>
          <w:szCs w:val="20"/>
        </w:rPr>
        <w:t>ces which</w:t>
      </w:r>
      <w:r w:rsidRPr="00210933">
        <w:rPr>
          <w:rFonts w:ascii="Times New Roman" w:hAnsi="Times New Roman" w:cs="Times New Roman"/>
          <w:sz w:val="20"/>
          <w:szCs w:val="20"/>
        </w:rPr>
        <w:t xml:space="preserve"> looked fissile, with a prominent foliated fabric</w:t>
      </w:r>
      <w:r w:rsidR="006A23DC">
        <w:rPr>
          <w:rFonts w:ascii="Times New Roman" w:hAnsi="Times New Roman" w:cs="Times New Roman"/>
          <w:sz w:val="20"/>
          <w:szCs w:val="20"/>
        </w:rPr>
        <w:t xml:space="preserve"> (</w:t>
      </w:r>
      <w:r w:rsidR="00B00A5D">
        <w:rPr>
          <w:rFonts w:ascii="Times New Roman" w:hAnsi="Times New Roman" w:cs="Times New Roman"/>
          <w:sz w:val="20"/>
          <w:szCs w:val="20"/>
        </w:rPr>
        <w:t xml:space="preserve">Figure </w:t>
      </w:r>
      <w:r w:rsidR="006A23DC">
        <w:rPr>
          <w:rFonts w:ascii="Times New Roman" w:hAnsi="Times New Roman" w:cs="Times New Roman"/>
          <w:sz w:val="20"/>
          <w:szCs w:val="20"/>
        </w:rPr>
        <w:t>S</w:t>
      </w:r>
      <w:r w:rsidR="00B00A5D">
        <w:rPr>
          <w:rFonts w:ascii="Times New Roman" w:hAnsi="Times New Roman" w:cs="Times New Roman"/>
          <w:sz w:val="20"/>
          <w:szCs w:val="20"/>
        </w:rPr>
        <w:t>2D)</w:t>
      </w:r>
      <w:r w:rsidRPr="00210933">
        <w:rPr>
          <w:rFonts w:ascii="Times New Roman" w:hAnsi="Times New Roman" w:cs="Times New Roman"/>
          <w:sz w:val="20"/>
          <w:szCs w:val="20"/>
        </w:rPr>
        <w:t>. This is not commonly found in clay morphologies originating from authigenic or early diagenetic processes</w:t>
      </w:r>
      <w:r w:rsidR="00E37FD9" w:rsidRPr="00210933">
        <w:rPr>
          <w:rFonts w:ascii="Times New Roman" w:hAnsi="Times New Roman" w:cs="Times New Roman"/>
          <w:sz w:val="20"/>
          <w:szCs w:val="20"/>
        </w:rPr>
        <w:t xml:space="preserve"> and is instead likely induced by a later-stage secondary reaction.</w:t>
      </w:r>
      <w:r w:rsidRPr="00210933">
        <w:rPr>
          <w:rFonts w:ascii="Times New Roman" w:hAnsi="Times New Roman" w:cs="Times New Roman"/>
          <w:sz w:val="20"/>
          <w:szCs w:val="20"/>
        </w:rPr>
        <w:t xml:space="preserve"> </w:t>
      </w:r>
      <w:r w:rsidR="005D7F30" w:rsidRPr="00210933">
        <w:rPr>
          <w:rFonts w:ascii="Times New Roman" w:hAnsi="Times New Roman" w:cs="Times New Roman"/>
          <w:sz w:val="20"/>
          <w:szCs w:val="20"/>
        </w:rPr>
        <w:t>Pyrite present in th</w:t>
      </w:r>
      <w:r w:rsidR="00911DE1" w:rsidRPr="00210933">
        <w:rPr>
          <w:rFonts w:ascii="Times New Roman" w:hAnsi="Times New Roman" w:cs="Times New Roman"/>
          <w:sz w:val="20"/>
          <w:szCs w:val="20"/>
        </w:rPr>
        <w:t xml:space="preserve">is </w:t>
      </w:r>
      <w:r w:rsidR="005D7F30" w:rsidRPr="00210933">
        <w:rPr>
          <w:rFonts w:ascii="Times New Roman" w:hAnsi="Times New Roman" w:cs="Times New Roman"/>
          <w:sz w:val="20"/>
          <w:szCs w:val="20"/>
        </w:rPr>
        <w:t>sample fill</w:t>
      </w:r>
      <w:r w:rsidR="00911DE1" w:rsidRPr="00210933">
        <w:rPr>
          <w:rFonts w:ascii="Times New Roman" w:hAnsi="Times New Roman" w:cs="Times New Roman"/>
          <w:sz w:val="20"/>
          <w:szCs w:val="20"/>
        </w:rPr>
        <w:t>ed</w:t>
      </w:r>
      <w:r w:rsidR="005D7F30" w:rsidRPr="00210933">
        <w:rPr>
          <w:rFonts w:ascii="Times New Roman" w:hAnsi="Times New Roman" w:cs="Times New Roman"/>
          <w:sz w:val="20"/>
          <w:szCs w:val="20"/>
        </w:rPr>
        <w:t xml:space="preserve"> cavities and overprint earlier </w:t>
      </w:r>
      <w:proofErr w:type="spellStart"/>
      <w:r w:rsidR="005D7F30" w:rsidRPr="00210933">
        <w:rPr>
          <w:rFonts w:ascii="Times New Roman" w:hAnsi="Times New Roman" w:cs="Times New Roman"/>
          <w:sz w:val="20"/>
          <w:szCs w:val="20"/>
        </w:rPr>
        <w:t>illite</w:t>
      </w:r>
      <w:proofErr w:type="spellEnd"/>
      <w:r w:rsidR="005D7F30" w:rsidRPr="00210933">
        <w:rPr>
          <w:rFonts w:ascii="Times New Roman" w:hAnsi="Times New Roman" w:cs="Times New Roman"/>
          <w:sz w:val="20"/>
          <w:szCs w:val="20"/>
        </w:rPr>
        <w:t xml:space="preserve"> and chlorite phases. </w:t>
      </w:r>
      <w:r w:rsidR="00911DE1" w:rsidRPr="00210933">
        <w:rPr>
          <w:rFonts w:ascii="Times New Roman" w:hAnsi="Times New Roman" w:cs="Times New Roman"/>
          <w:sz w:val="20"/>
          <w:szCs w:val="20"/>
        </w:rPr>
        <w:t>In addition, a</w:t>
      </w:r>
      <w:r w:rsidR="005D7F30" w:rsidRPr="00210933">
        <w:rPr>
          <w:rFonts w:ascii="Times New Roman" w:hAnsi="Times New Roman" w:cs="Times New Roman"/>
          <w:sz w:val="20"/>
          <w:szCs w:val="20"/>
        </w:rPr>
        <w:t xml:space="preserve">patite in this sample </w:t>
      </w:r>
      <w:r w:rsidR="00911DE1" w:rsidRPr="00210933">
        <w:rPr>
          <w:rFonts w:ascii="Times New Roman" w:hAnsi="Times New Roman" w:cs="Times New Roman"/>
          <w:sz w:val="20"/>
          <w:szCs w:val="20"/>
        </w:rPr>
        <w:t>has</w:t>
      </w:r>
      <w:r w:rsidR="005D7F30" w:rsidRPr="00210933">
        <w:rPr>
          <w:rFonts w:ascii="Times New Roman" w:hAnsi="Times New Roman" w:cs="Times New Roman"/>
          <w:sz w:val="20"/>
          <w:szCs w:val="20"/>
        </w:rPr>
        <w:t xml:space="preserve"> two main morphologies. </w:t>
      </w:r>
      <w:r w:rsidR="00911DE1" w:rsidRPr="00210933">
        <w:rPr>
          <w:rFonts w:ascii="Times New Roman" w:hAnsi="Times New Roman" w:cs="Times New Roman"/>
          <w:sz w:val="20"/>
          <w:szCs w:val="20"/>
        </w:rPr>
        <w:t>This included p</w:t>
      </w:r>
      <w:r w:rsidR="004D06E5" w:rsidRPr="00210933">
        <w:rPr>
          <w:rFonts w:ascii="Times New Roman" w:hAnsi="Times New Roman" w:cs="Times New Roman"/>
          <w:sz w:val="20"/>
          <w:szCs w:val="20"/>
        </w:rPr>
        <w:t xml:space="preserve">hosphates </w:t>
      </w:r>
      <w:r w:rsidR="00911DE1" w:rsidRPr="00210933">
        <w:rPr>
          <w:rFonts w:ascii="Times New Roman" w:hAnsi="Times New Roman" w:cs="Times New Roman"/>
          <w:sz w:val="20"/>
          <w:szCs w:val="20"/>
        </w:rPr>
        <w:t xml:space="preserve">that </w:t>
      </w:r>
      <w:r w:rsidR="004D06E5" w:rsidRPr="00210933">
        <w:rPr>
          <w:rFonts w:ascii="Times New Roman" w:hAnsi="Times New Roman" w:cs="Times New Roman"/>
          <w:sz w:val="20"/>
          <w:szCs w:val="20"/>
        </w:rPr>
        <w:t xml:space="preserve">either grew in framboidal structures or as alteration products of clay minerals. </w:t>
      </w:r>
      <w:r w:rsidR="00911DE1" w:rsidRPr="00210933">
        <w:rPr>
          <w:rFonts w:ascii="Times New Roman" w:hAnsi="Times New Roman" w:cs="Times New Roman"/>
          <w:sz w:val="20"/>
          <w:szCs w:val="20"/>
        </w:rPr>
        <w:t>On the other hand, the Lower Velkerri Formation shale from 1220 m depth is comparatively more crystalline</w:t>
      </w:r>
      <w:r w:rsidR="006A23DC">
        <w:rPr>
          <w:rFonts w:ascii="Times New Roman" w:hAnsi="Times New Roman" w:cs="Times New Roman"/>
          <w:sz w:val="20"/>
          <w:szCs w:val="20"/>
        </w:rPr>
        <w:t xml:space="preserve"> (</w:t>
      </w:r>
      <w:r w:rsidR="00B00A5D">
        <w:rPr>
          <w:rFonts w:ascii="Times New Roman" w:hAnsi="Times New Roman" w:cs="Times New Roman"/>
          <w:sz w:val="20"/>
          <w:szCs w:val="20"/>
        </w:rPr>
        <w:t xml:space="preserve">Figure </w:t>
      </w:r>
      <w:r w:rsidR="006A23DC">
        <w:rPr>
          <w:rFonts w:ascii="Times New Roman" w:hAnsi="Times New Roman" w:cs="Times New Roman"/>
          <w:sz w:val="20"/>
          <w:szCs w:val="20"/>
        </w:rPr>
        <w:t>S</w:t>
      </w:r>
      <w:r w:rsidR="00B00A5D">
        <w:rPr>
          <w:rFonts w:ascii="Times New Roman" w:hAnsi="Times New Roman" w:cs="Times New Roman"/>
          <w:sz w:val="20"/>
          <w:szCs w:val="20"/>
        </w:rPr>
        <w:t>2E)</w:t>
      </w:r>
      <w:r w:rsidR="00911DE1" w:rsidRPr="00210933">
        <w:rPr>
          <w:rFonts w:ascii="Times New Roman" w:hAnsi="Times New Roman" w:cs="Times New Roman"/>
          <w:sz w:val="20"/>
          <w:szCs w:val="20"/>
        </w:rPr>
        <w:t xml:space="preserve">. Only a minor </w:t>
      </w:r>
      <w:r w:rsidR="00E37FD9" w:rsidRPr="00210933">
        <w:rPr>
          <w:rFonts w:ascii="Times New Roman" w:hAnsi="Times New Roman" w:cs="Times New Roman"/>
          <w:sz w:val="20"/>
          <w:szCs w:val="20"/>
        </w:rPr>
        <w:t xml:space="preserve">amount of detrital quartz has evident, and they are consistently up to 100 µm in size. </w:t>
      </w:r>
      <w:r w:rsidR="009817FA" w:rsidRPr="00210933">
        <w:rPr>
          <w:rFonts w:ascii="Times New Roman" w:hAnsi="Times New Roman" w:cs="Times New Roman"/>
          <w:sz w:val="20"/>
          <w:szCs w:val="20"/>
        </w:rPr>
        <w:t xml:space="preserve">However, </w:t>
      </w:r>
      <w:proofErr w:type="spellStart"/>
      <w:r w:rsidR="009817FA" w:rsidRPr="00210933">
        <w:rPr>
          <w:rFonts w:ascii="Times New Roman" w:hAnsi="Times New Roman" w:cs="Times New Roman"/>
          <w:sz w:val="20"/>
          <w:szCs w:val="20"/>
        </w:rPr>
        <w:t>i</w:t>
      </w:r>
      <w:r w:rsidR="00E37FD9" w:rsidRPr="00210933">
        <w:rPr>
          <w:rFonts w:ascii="Times New Roman" w:hAnsi="Times New Roman" w:cs="Times New Roman"/>
          <w:sz w:val="20"/>
          <w:szCs w:val="20"/>
        </w:rPr>
        <w:t>llite</w:t>
      </w:r>
      <w:proofErr w:type="spellEnd"/>
      <w:r w:rsidR="00E37FD9" w:rsidRPr="00210933">
        <w:rPr>
          <w:rFonts w:ascii="Times New Roman" w:hAnsi="Times New Roman" w:cs="Times New Roman"/>
          <w:sz w:val="20"/>
          <w:szCs w:val="20"/>
        </w:rPr>
        <w:t xml:space="preserve"> grain morphologies in this sample </w:t>
      </w:r>
      <w:r w:rsidR="009817FA" w:rsidRPr="00210933">
        <w:rPr>
          <w:rFonts w:ascii="Times New Roman" w:hAnsi="Times New Roman" w:cs="Times New Roman"/>
          <w:sz w:val="20"/>
          <w:szCs w:val="20"/>
        </w:rPr>
        <w:t>do not look detrital.</w:t>
      </w:r>
      <w:r w:rsidR="00E37FD9" w:rsidRPr="00210933">
        <w:rPr>
          <w:rFonts w:ascii="Times New Roman" w:hAnsi="Times New Roman" w:cs="Times New Roman"/>
          <w:sz w:val="20"/>
          <w:szCs w:val="20"/>
        </w:rPr>
        <w:t xml:space="preserve"> Instead, they </w:t>
      </w:r>
      <w:r w:rsidR="009817FA" w:rsidRPr="00210933">
        <w:rPr>
          <w:rFonts w:ascii="Times New Roman" w:hAnsi="Times New Roman" w:cs="Times New Roman"/>
          <w:sz w:val="20"/>
          <w:szCs w:val="20"/>
        </w:rPr>
        <w:t>form interlocking grain fabrics and seemed to</w:t>
      </w:r>
      <w:r w:rsidR="00E37FD9" w:rsidRPr="00210933">
        <w:rPr>
          <w:rFonts w:ascii="Times New Roman" w:hAnsi="Times New Roman" w:cs="Times New Roman"/>
          <w:sz w:val="20"/>
          <w:szCs w:val="20"/>
        </w:rPr>
        <w:t xml:space="preserve"> be products from recrystallisation of a finer-grained clay matrix. </w:t>
      </w:r>
      <w:r w:rsidR="009817FA" w:rsidRPr="00210933">
        <w:rPr>
          <w:rFonts w:ascii="Times New Roman" w:hAnsi="Times New Roman" w:cs="Times New Roman"/>
          <w:sz w:val="20"/>
          <w:szCs w:val="20"/>
        </w:rPr>
        <w:t xml:space="preserve">Moreover, fine-grained clays can also be seen replaced by large chlorite domains </w:t>
      </w:r>
      <w:r w:rsidR="008845AC" w:rsidRPr="00210933">
        <w:rPr>
          <w:rFonts w:ascii="Times New Roman" w:hAnsi="Times New Roman" w:cs="Times New Roman"/>
          <w:sz w:val="20"/>
          <w:szCs w:val="20"/>
        </w:rPr>
        <w:t xml:space="preserve">larger than 100 µm in size. Overall, the petrography of the Lower Velkerri Formation shales suggest that they have experienced post-depositional secondary fluid-rock interactions. The full MLA maps overlain by BSE images of all samples in this study can be found in the Supplementary Information. </w:t>
      </w:r>
    </w:p>
    <w:p w14:paraId="7DE73263" w14:textId="30712164" w:rsidR="008608E0" w:rsidRPr="00210933" w:rsidRDefault="00210933" w:rsidP="00210933">
      <w:pPr>
        <w:pStyle w:val="ListParagraph"/>
        <w:numPr>
          <w:ilvl w:val="0"/>
          <w:numId w:val="3"/>
        </w:numPr>
        <w:spacing w:line="480" w:lineRule="auto"/>
        <w:rPr>
          <w:rFonts w:ascii="Times New Roman" w:hAnsi="Times New Roman" w:cs="Times New Roman"/>
          <w:b/>
          <w:bCs/>
          <w:sz w:val="20"/>
          <w:szCs w:val="20"/>
        </w:rPr>
      </w:pPr>
      <w:r w:rsidRPr="00210933">
        <w:rPr>
          <w:rFonts w:ascii="Times New Roman" w:hAnsi="Times New Roman" w:cs="Times New Roman"/>
          <w:b/>
          <w:bCs/>
          <w:sz w:val="20"/>
          <w:szCs w:val="20"/>
        </w:rPr>
        <w:t>One-Dimensional Thermal Modelling</w:t>
      </w:r>
    </w:p>
    <w:p w14:paraId="11DF8D35" w14:textId="46E03075" w:rsidR="008608E0" w:rsidRPr="00210933" w:rsidRDefault="008608E0" w:rsidP="00210933">
      <w:pPr>
        <w:spacing w:line="480" w:lineRule="auto"/>
        <w:rPr>
          <w:rFonts w:ascii="Times New Roman" w:hAnsi="Times New Roman" w:cs="Times New Roman"/>
          <w:sz w:val="20"/>
          <w:szCs w:val="20"/>
        </w:rPr>
      </w:pPr>
      <w:r w:rsidRPr="00210933">
        <w:rPr>
          <w:rFonts w:ascii="Times New Roman" w:hAnsi="Times New Roman" w:cs="Times New Roman"/>
          <w:sz w:val="20"/>
          <w:szCs w:val="20"/>
        </w:rPr>
        <w:t xml:space="preserve">One-dimensional thermal modelling of the </w:t>
      </w:r>
      <w:proofErr w:type="spellStart"/>
      <w:r w:rsidRPr="00210933">
        <w:rPr>
          <w:rFonts w:ascii="Times New Roman" w:hAnsi="Times New Roman" w:cs="Times New Roman"/>
          <w:sz w:val="20"/>
          <w:szCs w:val="20"/>
        </w:rPr>
        <w:t>Altree</w:t>
      </w:r>
      <w:proofErr w:type="spellEnd"/>
      <w:r w:rsidRPr="00210933">
        <w:rPr>
          <w:rFonts w:ascii="Times New Roman" w:hAnsi="Times New Roman" w:cs="Times New Roman"/>
          <w:sz w:val="20"/>
          <w:szCs w:val="20"/>
        </w:rPr>
        <w:t xml:space="preserve"> 2 well was conducted using the MATLAB code </w:t>
      </w:r>
      <w:proofErr w:type="spellStart"/>
      <w:r w:rsidRPr="00210933">
        <w:rPr>
          <w:rFonts w:ascii="Times New Roman" w:hAnsi="Times New Roman" w:cs="Times New Roman"/>
          <w:sz w:val="20"/>
          <w:szCs w:val="20"/>
        </w:rPr>
        <w:t>SILLi</w:t>
      </w:r>
      <w:proofErr w:type="spellEnd"/>
      <w:r w:rsidRPr="00210933">
        <w:rPr>
          <w:rFonts w:ascii="Times New Roman" w:hAnsi="Times New Roman" w:cs="Times New Roman"/>
          <w:sz w:val="20"/>
          <w:szCs w:val="20"/>
        </w:rPr>
        <w:t xml:space="preserve"> 1.0, as produced by </w:t>
      </w:r>
      <w:r w:rsidRPr="00210933">
        <w:rPr>
          <w:rFonts w:ascii="Times New Roman" w:hAnsi="Times New Roman" w:cs="Times New Roman"/>
          <w:sz w:val="20"/>
          <w:szCs w:val="20"/>
        </w:rPr>
        <w:fldChar w:fldCharType="begin"/>
      </w:r>
      <w:r w:rsidRPr="00210933">
        <w:rPr>
          <w:rFonts w:ascii="Times New Roman" w:hAnsi="Times New Roman" w:cs="Times New Roman"/>
          <w:sz w:val="20"/>
          <w:szCs w:val="20"/>
        </w:rPr>
        <w:instrText xml:space="preserve"> ADDIN EN.CITE &lt;EndNote&gt;&lt;Cite AuthorYear="1"&gt;&lt;Author&gt;Iyer&lt;/Author&gt;&lt;Year&gt;2018&lt;/Year&gt;&lt;RecNum&gt;557&lt;/RecNum&gt;&lt;DisplayText&gt;Iyer et al. (2018)&lt;/DisplayText&gt;&lt;record&gt;&lt;rec-number&gt;557&lt;/rec-number&gt;&lt;foreign-keys&gt;&lt;key app="EN" db-id="5sx2pewp2avfr3e2zfkv902kz9fppe9vzxse" timestamp="1644288215"&gt;557&lt;/key&gt;&lt;/foreign-keys&gt;&lt;ref-type name="Journal Article"&gt;17&lt;/ref-type&gt;&lt;contributors&gt;&lt;authors&gt;&lt;author&gt;Iyer, K.&lt;/author&gt;&lt;author&gt;Svensen, H.&lt;/author&gt;&lt;author&gt;Schmid, D. W.&lt;/author&gt;&lt;/authors&gt;&lt;/contributors&gt;&lt;titles&gt;&lt;title&gt;SILLi 1.0: a 1-D numerical tool quantifying the thermal effects of sill intrusions&lt;/title&gt;&lt;secondary-title&gt;Geosci. Model Dev.&lt;/secondary-title&gt;&lt;/titles&gt;&lt;periodical&gt;&lt;full-title&gt;Geosci. Model Dev.&lt;/full-title&gt;&lt;/periodical&gt;&lt;pages&gt;43-60&lt;/pages&gt;&lt;volume&gt;11&lt;/volume&gt;&lt;number&gt;1&lt;/number&gt;&lt;dates&gt;&lt;year&gt;2018&lt;/year&gt;&lt;/dates&gt;&lt;publisher&gt;Copernicus Publications&lt;/publisher&gt;&lt;isbn&gt;1991-9603&lt;/isbn&gt;&lt;urls&gt;&lt;related-urls&gt;&lt;url&gt;https://gmd.copernicus.org/articles/11/43/2018/&lt;/url&gt;&lt;/related-urls&gt;&lt;pdf-urls&gt;&lt;url&gt;https://gmd.copernicus.org/articles/11/43/2018/gmd-11-43-2018.pdf&lt;/url&gt;&lt;/pdf-urls&gt;&lt;/urls&gt;&lt;electronic-resource-num&gt;10.5194/gmd-11-43-2018&lt;/electronic-resource-num&gt;&lt;/record&gt;&lt;/Cite&gt;&lt;/EndNote&gt;</w:instrText>
      </w:r>
      <w:r w:rsidRPr="00210933">
        <w:rPr>
          <w:rFonts w:ascii="Times New Roman" w:hAnsi="Times New Roman" w:cs="Times New Roman"/>
          <w:sz w:val="20"/>
          <w:szCs w:val="20"/>
        </w:rPr>
        <w:fldChar w:fldCharType="separate"/>
      </w:r>
      <w:r w:rsidRPr="00210933">
        <w:rPr>
          <w:rFonts w:ascii="Times New Roman" w:hAnsi="Times New Roman" w:cs="Times New Roman"/>
          <w:noProof/>
          <w:sz w:val="20"/>
          <w:szCs w:val="20"/>
        </w:rPr>
        <w:t>Iyer et al. (2018)</w:t>
      </w:r>
      <w:r w:rsidRPr="00210933">
        <w:rPr>
          <w:rFonts w:ascii="Times New Roman" w:hAnsi="Times New Roman" w:cs="Times New Roman"/>
          <w:sz w:val="20"/>
          <w:szCs w:val="20"/>
        </w:rPr>
        <w:fldChar w:fldCharType="end"/>
      </w:r>
      <w:r w:rsidRPr="00210933">
        <w:rPr>
          <w:rFonts w:ascii="Times New Roman" w:hAnsi="Times New Roman" w:cs="Times New Roman"/>
          <w:sz w:val="20"/>
          <w:szCs w:val="20"/>
        </w:rPr>
        <w:t xml:space="preserve">. As the simulation aims to model thermal conditions following emplacement of a </w:t>
      </w:r>
      <w:proofErr w:type="spellStart"/>
      <w:r w:rsidRPr="00210933">
        <w:rPr>
          <w:rFonts w:ascii="Times New Roman" w:hAnsi="Times New Roman" w:cs="Times New Roman"/>
          <w:sz w:val="20"/>
          <w:szCs w:val="20"/>
        </w:rPr>
        <w:t>Derim</w:t>
      </w:r>
      <w:proofErr w:type="spellEnd"/>
      <w:r w:rsidRPr="00210933">
        <w:rPr>
          <w:rFonts w:ascii="Times New Roman" w:hAnsi="Times New Roman" w:cs="Times New Roman"/>
          <w:sz w:val="20"/>
          <w:szCs w:val="20"/>
        </w:rPr>
        <w:t xml:space="preserve"> </w:t>
      </w:r>
      <w:proofErr w:type="spellStart"/>
      <w:r w:rsidRPr="00210933">
        <w:rPr>
          <w:rFonts w:ascii="Times New Roman" w:hAnsi="Times New Roman" w:cs="Times New Roman"/>
          <w:sz w:val="20"/>
          <w:szCs w:val="20"/>
        </w:rPr>
        <w:t>Derim</w:t>
      </w:r>
      <w:proofErr w:type="spellEnd"/>
      <w:r w:rsidRPr="00210933">
        <w:rPr>
          <w:rFonts w:ascii="Times New Roman" w:hAnsi="Times New Roman" w:cs="Times New Roman"/>
          <w:sz w:val="20"/>
          <w:szCs w:val="20"/>
        </w:rPr>
        <w:t xml:space="preserve"> Dolerite sill at ca. 1300 Ma, the modelled sedimentary column is different to that preserved currently in the </w:t>
      </w:r>
      <w:proofErr w:type="spellStart"/>
      <w:r w:rsidRPr="00210933">
        <w:rPr>
          <w:rFonts w:ascii="Times New Roman" w:hAnsi="Times New Roman" w:cs="Times New Roman"/>
          <w:sz w:val="20"/>
          <w:szCs w:val="20"/>
        </w:rPr>
        <w:t>Altree</w:t>
      </w:r>
      <w:proofErr w:type="spellEnd"/>
      <w:r w:rsidRPr="00210933">
        <w:rPr>
          <w:rFonts w:ascii="Times New Roman" w:hAnsi="Times New Roman" w:cs="Times New Roman"/>
          <w:sz w:val="20"/>
          <w:szCs w:val="20"/>
        </w:rPr>
        <w:t xml:space="preserve"> 2 well. Post-Mesoproterozoic sedimentary rocks have been removed for this simulation, and an additional 1</w:t>
      </w:r>
      <w:r w:rsidR="00FE173C">
        <w:rPr>
          <w:rFonts w:ascii="Times New Roman" w:hAnsi="Times New Roman" w:cs="Times New Roman"/>
          <w:sz w:val="20"/>
          <w:szCs w:val="20"/>
        </w:rPr>
        <w:t>.5</w:t>
      </w:r>
      <w:r w:rsidRPr="00210933">
        <w:rPr>
          <w:rFonts w:ascii="Times New Roman" w:hAnsi="Times New Roman" w:cs="Times New Roman"/>
          <w:sz w:val="20"/>
          <w:szCs w:val="20"/>
        </w:rPr>
        <w:t xml:space="preserve"> km of upper Roper Group sedimentary rocks have been added to satisfy the maximum </w:t>
      </w:r>
      <w:proofErr w:type="spellStart"/>
      <w:r w:rsidRPr="00210933">
        <w:rPr>
          <w:rFonts w:ascii="Times New Roman" w:hAnsi="Times New Roman" w:cs="Times New Roman"/>
          <w:sz w:val="20"/>
          <w:szCs w:val="20"/>
        </w:rPr>
        <w:t>Palaeotemperatures</w:t>
      </w:r>
      <w:proofErr w:type="spellEnd"/>
      <w:r w:rsidRPr="00210933">
        <w:rPr>
          <w:rFonts w:ascii="Times New Roman" w:hAnsi="Times New Roman" w:cs="Times New Roman"/>
          <w:sz w:val="20"/>
          <w:szCs w:val="20"/>
        </w:rPr>
        <w:t xml:space="preserve"> predicted by </w:t>
      </w:r>
      <w:proofErr w:type="spellStart"/>
      <w:r w:rsidRPr="00210933">
        <w:rPr>
          <w:rFonts w:ascii="Times New Roman" w:hAnsi="Times New Roman" w:cs="Times New Roman"/>
          <w:sz w:val="20"/>
          <w:szCs w:val="20"/>
        </w:rPr>
        <w:t>T</w:t>
      </w:r>
      <w:r w:rsidRPr="00210933">
        <w:rPr>
          <w:rFonts w:ascii="Times New Roman" w:hAnsi="Times New Roman" w:cs="Times New Roman"/>
          <w:sz w:val="20"/>
          <w:szCs w:val="20"/>
          <w:vertAlign w:val="subscript"/>
        </w:rPr>
        <w:t>max</w:t>
      </w:r>
      <w:proofErr w:type="spellEnd"/>
      <w:r w:rsidRPr="00210933">
        <w:rPr>
          <w:rFonts w:ascii="Times New Roman" w:hAnsi="Times New Roman" w:cs="Times New Roman"/>
          <w:sz w:val="20"/>
          <w:szCs w:val="20"/>
        </w:rPr>
        <w:t xml:space="preserve"> values preserved in the upper and middle Velkerri Formation. Physical properties for lithologies are from the global geochemical dataset of </w:t>
      </w:r>
      <w:r w:rsidRPr="00210933">
        <w:rPr>
          <w:rFonts w:ascii="Times New Roman" w:hAnsi="Times New Roman" w:cs="Times New Roman"/>
          <w:sz w:val="20"/>
          <w:szCs w:val="20"/>
        </w:rPr>
        <w:fldChar w:fldCharType="begin"/>
      </w:r>
      <w:r w:rsidRPr="00210933">
        <w:rPr>
          <w:rFonts w:ascii="Times New Roman" w:hAnsi="Times New Roman" w:cs="Times New Roman"/>
          <w:sz w:val="20"/>
          <w:szCs w:val="20"/>
        </w:rPr>
        <w:instrText xml:space="preserve"> ADDIN EN.CITE &lt;EndNote&gt;&lt;Cite AuthorYear="1"&gt;&lt;Author&gt;Gard&lt;/Author&gt;&lt;Year&gt;2019&lt;/Year&gt;&lt;RecNum&gt;542&lt;/RecNum&gt;&lt;DisplayText&gt;Gard et al. (2019)&lt;/DisplayText&gt;&lt;record&gt;&lt;rec-number&gt;542&lt;/rec-number&gt;&lt;foreign-keys&gt;&lt;key app="EN" db-id="5sx2pewp2avfr3e2zfkv902kz9fppe9vzxse" timestamp="1643180942"&gt;542&lt;/key&gt;&lt;/foreign-keys&gt;&lt;ref-type name="Journal Article"&gt;17&lt;/ref-type&gt;&lt;contributors&gt;&lt;authors&gt;&lt;author&gt;Gard, Matthew&lt;/author&gt;&lt;author&gt;Hasterok, Derrick&lt;/author&gt;&lt;author&gt;Halpin, Jacqueline A %J Earth System Science Data&lt;/author&gt;&lt;/authors&gt;&lt;/contributors&gt;&lt;titles&gt;&lt;title&gt;Global whole-rock geochemical database compilation&lt;/title&gt;&lt;/titles&gt;&lt;pages&gt;1553-1566&lt;/pages&gt;&lt;volume&gt;11&lt;/volume&gt;&lt;number&gt;4&lt;/number&gt;&lt;dates&gt;&lt;year&gt;2019&lt;/year&gt;&lt;/dates&gt;&lt;isbn&gt;1866-3508&lt;/isbn&gt;&lt;urls&gt;&lt;/urls&gt;&lt;/record&gt;&lt;/Cite&gt;&lt;/EndNote&gt;</w:instrText>
      </w:r>
      <w:r w:rsidRPr="00210933">
        <w:rPr>
          <w:rFonts w:ascii="Times New Roman" w:hAnsi="Times New Roman" w:cs="Times New Roman"/>
          <w:sz w:val="20"/>
          <w:szCs w:val="20"/>
        </w:rPr>
        <w:fldChar w:fldCharType="separate"/>
      </w:r>
      <w:r w:rsidRPr="00210933">
        <w:rPr>
          <w:rFonts w:ascii="Times New Roman" w:hAnsi="Times New Roman" w:cs="Times New Roman"/>
          <w:noProof/>
          <w:sz w:val="20"/>
          <w:szCs w:val="20"/>
        </w:rPr>
        <w:t>Gard et al. (2019)</w:t>
      </w:r>
      <w:r w:rsidRPr="00210933">
        <w:rPr>
          <w:rFonts w:ascii="Times New Roman" w:hAnsi="Times New Roman" w:cs="Times New Roman"/>
          <w:sz w:val="20"/>
          <w:szCs w:val="20"/>
        </w:rPr>
        <w:fldChar w:fldCharType="end"/>
      </w:r>
      <w:r w:rsidR="00FE173C">
        <w:rPr>
          <w:rFonts w:ascii="Times New Roman" w:hAnsi="Times New Roman" w:cs="Times New Roman"/>
          <w:sz w:val="20"/>
          <w:szCs w:val="20"/>
        </w:rPr>
        <w:t>,</w:t>
      </w:r>
      <w:r w:rsidRPr="00210933">
        <w:rPr>
          <w:rFonts w:ascii="Times New Roman" w:hAnsi="Times New Roman" w:cs="Times New Roman"/>
          <w:sz w:val="20"/>
          <w:szCs w:val="20"/>
        </w:rPr>
        <w:t xml:space="preserve"> apart from average density and TOC values, which are taken from </w:t>
      </w:r>
      <w:proofErr w:type="spellStart"/>
      <w:r w:rsidRPr="00210933">
        <w:rPr>
          <w:rFonts w:ascii="Times New Roman" w:hAnsi="Times New Roman" w:cs="Times New Roman"/>
          <w:sz w:val="20"/>
          <w:szCs w:val="20"/>
        </w:rPr>
        <w:t>Altree</w:t>
      </w:r>
      <w:proofErr w:type="spellEnd"/>
      <w:r w:rsidRPr="00210933">
        <w:rPr>
          <w:rFonts w:ascii="Times New Roman" w:hAnsi="Times New Roman" w:cs="Times New Roman"/>
          <w:sz w:val="20"/>
          <w:szCs w:val="20"/>
        </w:rPr>
        <w:t xml:space="preserve"> 2 well logs. A typical geothermal gradient of 25 °C/km has been used for the simulation, with a surface temperature of 25 °C. Input model formation top ages are not true representations of the Mesoproterozoic strata but are instead designed to deposit required sedimentary rocks </w:t>
      </w:r>
      <w:r w:rsidRPr="00210933">
        <w:rPr>
          <w:rFonts w:ascii="Times New Roman" w:hAnsi="Times New Roman" w:cs="Times New Roman"/>
          <w:sz w:val="20"/>
          <w:szCs w:val="20"/>
        </w:rPr>
        <w:lastRenderedPageBreak/>
        <w:t xml:space="preserve">over a reasonable time period and allow the geothermal gradient to achieve equilibrium prior to sill emplacement at a model time of 10 Ma. Full sedimentary rock physical properties and model deposition times are provided in Table </w:t>
      </w:r>
      <w:r w:rsidR="006A23DC">
        <w:rPr>
          <w:rFonts w:ascii="Times New Roman" w:hAnsi="Times New Roman" w:cs="Times New Roman"/>
          <w:sz w:val="20"/>
          <w:szCs w:val="20"/>
        </w:rPr>
        <w:t>S2</w:t>
      </w:r>
      <w:r w:rsidRPr="00210933">
        <w:rPr>
          <w:rFonts w:ascii="Times New Roman" w:hAnsi="Times New Roman" w:cs="Times New Roman"/>
          <w:sz w:val="20"/>
          <w:szCs w:val="20"/>
        </w:rPr>
        <w:t>, and sill physical properties and emplacement charact</w:t>
      </w:r>
      <w:r w:rsidR="006A23DC">
        <w:rPr>
          <w:rFonts w:ascii="Times New Roman" w:hAnsi="Times New Roman" w:cs="Times New Roman"/>
          <w:sz w:val="20"/>
          <w:szCs w:val="20"/>
        </w:rPr>
        <w:t>eristics are provided in Table S3</w:t>
      </w:r>
      <w:r w:rsidRPr="00210933">
        <w:rPr>
          <w:rFonts w:ascii="Times New Roman" w:hAnsi="Times New Roman" w:cs="Times New Roman"/>
          <w:sz w:val="20"/>
          <w:szCs w:val="20"/>
        </w:rPr>
        <w:t>.</w:t>
      </w:r>
    </w:p>
    <w:tbl>
      <w:tblPr>
        <w:tblStyle w:val="TableGrid"/>
        <w:tblW w:w="1119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1418"/>
        <w:gridCol w:w="1134"/>
        <w:gridCol w:w="992"/>
        <w:gridCol w:w="1559"/>
        <w:gridCol w:w="2127"/>
        <w:gridCol w:w="1275"/>
      </w:tblGrid>
      <w:tr w:rsidR="008608E0" w:rsidRPr="00210933" w14:paraId="6355755D" w14:textId="77777777" w:rsidTr="00FC7B4D">
        <w:trPr>
          <w:trHeight w:val="300"/>
        </w:trPr>
        <w:tc>
          <w:tcPr>
            <w:tcW w:w="2694" w:type="dxa"/>
            <w:tcBorders>
              <w:bottom w:val="single" w:sz="4" w:space="0" w:color="auto"/>
            </w:tcBorders>
            <w:noWrap/>
            <w:hideMark/>
          </w:tcPr>
          <w:p w14:paraId="0A4AB6C8" w14:textId="77777777" w:rsidR="008608E0" w:rsidRPr="00210933" w:rsidRDefault="008608E0" w:rsidP="00A4247D">
            <w:pPr>
              <w:jc w:val="center"/>
              <w:rPr>
                <w:rFonts w:ascii="Times New Roman" w:hAnsi="Times New Roman" w:cs="Times New Roman"/>
                <w:b/>
                <w:bCs/>
                <w:i/>
                <w:sz w:val="20"/>
                <w:szCs w:val="20"/>
              </w:rPr>
            </w:pPr>
            <w:r w:rsidRPr="00210933">
              <w:rPr>
                <w:rFonts w:ascii="Times New Roman" w:hAnsi="Times New Roman" w:cs="Times New Roman"/>
                <w:b/>
                <w:bCs/>
                <w:i/>
                <w:sz w:val="20"/>
                <w:szCs w:val="20"/>
              </w:rPr>
              <w:t>Lithology</w:t>
            </w:r>
          </w:p>
        </w:tc>
        <w:tc>
          <w:tcPr>
            <w:tcW w:w="1418" w:type="dxa"/>
            <w:tcBorders>
              <w:bottom w:val="single" w:sz="4" w:space="0" w:color="auto"/>
            </w:tcBorders>
            <w:noWrap/>
            <w:hideMark/>
          </w:tcPr>
          <w:p w14:paraId="6F52D60B" w14:textId="77777777" w:rsidR="008608E0" w:rsidRPr="00210933" w:rsidRDefault="008608E0" w:rsidP="00A4247D">
            <w:pPr>
              <w:jc w:val="center"/>
              <w:rPr>
                <w:rFonts w:ascii="Times New Roman" w:hAnsi="Times New Roman" w:cs="Times New Roman"/>
                <w:b/>
                <w:bCs/>
                <w:i/>
                <w:sz w:val="20"/>
                <w:szCs w:val="20"/>
              </w:rPr>
            </w:pPr>
            <w:r w:rsidRPr="00210933">
              <w:rPr>
                <w:rFonts w:ascii="Times New Roman" w:hAnsi="Times New Roman" w:cs="Times New Roman"/>
                <w:b/>
                <w:bCs/>
                <w:i/>
                <w:sz w:val="20"/>
                <w:szCs w:val="20"/>
              </w:rPr>
              <w:t>Top Depth (m)</w:t>
            </w:r>
          </w:p>
        </w:tc>
        <w:tc>
          <w:tcPr>
            <w:tcW w:w="1134" w:type="dxa"/>
            <w:tcBorders>
              <w:bottom w:val="single" w:sz="4" w:space="0" w:color="auto"/>
            </w:tcBorders>
            <w:noWrap/>
            <w:hideMark/>
          </w:tcPr>
          <w:p w14:paraId="57EA5776" w14:textId="77777777" w:rsidR="008608E0" w:rsidRPr="00210933" w:rsidRDefault="008608E0" w:rsidP="00A4247D">
            <w:pPr>
              <w:jc w:val="center"/>
              <w:rPr>
                <w:rFonts w:ascii="Times New Roman" w:hAnsi="Times New Roman" w:cs="Times New Roman"/>
                <w:b/>
                <w:bCs/>
                <w:i/>
                <w:sz w:val="20"/>
                <w:szCs w:val="20"/>
              </w:rPr>
            </w:pPr>
            <w:r w:rsidRPr="00210933">
              <w:rPr>
                <w:rFonts w:ascii="Times New Roman" w:hAnsi="Times New Roman" w:cs="Times New Roman"/>
                <w:b/>
                <w:bCs/>
                <w:i/>
                <w:sz w:val="20"/>
                <w:szCs w:val="20"/>
              </w:rPr>
              <w:t>Top Age (Ma)</w:t>
            </w:r>
          </w:p>
        </w:tc>
        <w:tc>
          <w:tcPr>
            <w:tcW w:w="992" w:type="dxa"/>
            <w:tcBorders>
              <w:bottom w:val="single" w:sz="4" w:space="0" w:color="auto"/>
            </w:tcBorders>
            <w:noWrap/>
            <w:hideMark/>
          </w:tcPr>
          <w:p w14:paraId="542A2042" w14:textId="77777777" w:rsidR="008608E0" w:rsidRPr="00210933" w:rsidRDefault="008608E0" w:rsidP="00A4247D">
            <w:pPr>
              <w:jc w:val="center"/>
              <w:rPr>
                <w:rFonts w:ascii="Times New Roman" w:hAnsi="Times New Roman" w:cs="Times New Roman"/>
                <w:b/>
                <w:bCs/>
                <w:i/>
                <w:sz w:val="20"/>
                <w:szCs w:val="20"/>
              </w:rPr>
            </w:pPr>
            <w:r w:rsidRPr="00210933">
              <w:rPr>
                <w:rFonts w:ascii="Times New Roman" w:hAnsi="Times New Roman" w:cs="Times New Roman"/>
                <w:b/>
                <w:bCs/>
                <w:i/>
                <w:sz w:val="20"/>
                <w:szCs w:val="20"/>
              </w:rPr>
              <w:t>Density (kg m</w:t>
            </w:r>
            <w:r w:rsidRPr="00210933">
              <w:rPr>
                <w:rFonts w:ascii="Times New Roman" w:hAnsi="Times New Roman" w:cs="Times New Roman"/>
                <w:b/>
                <w:bCs/>
                <w:i/>
                <w:sz w:val="20"/>
                <w:szCs w:val="20"/>
                <w:vertAlign w:val="superscript"/>
              </w:rPr>
              <w:t>-3</w:t>
            </w:r>
            <w:r w:rsidRPr="00210933">
              <w:rPr>
                <w:rFonts w:ascii="Times New Roman" w:hAnsi="Times New Roman" w:cs="Times New Roman"/>
                <w:b/>
                <w:bCs/>
                <w:i/>
                <w:sz w:val="20"/>
                <w:szCs w:val="20"/>
              </w:rPr>
              <w:t>)</w:t>
            </w:r>
          </w:p>
        </w:tc>
        <w:tc>
          <w:tcPr>
            <w:tcW w:w="1559" w:type="dxa"/>
            <w:tcBorders>
              <w:bottom w:val="single" w:sz="4" w:space="0" w:color="auto"/>
            </w:tcBorders>
            <w:noWrap/>
            <w:hideMark/>
          </w:tcPr>
          <w:p w14:paraId="6F246E5F" w14:textId="77777777" w:rsidR="008608E0" w:rsidRPr="00210933" w:rsidRDefault="008608E0" w:rsidP="00A4247D">
            <w:pPr>
              <w:jc w:val="center"/>
              <w:rPr>
                <w:rFonts w:ascii="Times New Roman" w:hAnsi="Times New Roman" w:cs="Times New Roman"/>
                <w:b/>
                <w:bCs/>
                <w:i/>
                <w:sz w:val="20"/>
                <w:szCs w:val="20"/>
              </w:rPr>
            </w:pPr>
            <w:r w:rsidRPr="00210933">
              <w:rPr>
                <w:rFonts w:ascii="Times New Roman" w:hAnsi="Times New Roman" w:cs="Times New Roman"/>
                <w:b/>
                <w:bCs/>
                <w:i/>
                <w:sz w:val="20"/>
                <w:szCs w:val="20"/>
              </w:rPr>
              <w:t>Heat Capacity (J kg</w:t>
            </w:r>
            <w:r w:rsidRPr="00210933">
              <w:rPr>
                <w:rFonts w:ascii="Times New Roman" w:hAnsi="Times New Roman" w:cs="Times New Roman"/>
                <w:b/>
                <w:bCs/>
                <w:i/>
                <w:sz w:val="20"/>
                <w:szCs w:val="20"/>
                <w:vertAlign w:val="superscript"/>
              </w:rPr>
              <w:t xml:space="preserve">-1 </w:t>
            </w:r>
            <w:r w:rsidRPr="00210933">
              <w:rPr>
                <w:rFonts w:ascii="Times New Roman" w:hAnsi="Times New Roman" w:cs="Times New Roman"/>
                <w:b/>
                <w:bCs/>
                <w:i/>
                <w:sz w:val="20"/>
                <w:szCs w:val="20"/>
              </w:rPr>
              <w:t>C</w:t>
            </w:r>
            <w:r w:rsidRPr="00210933">
              <w:rPr>
                <w:rFonts w:ascii="Times New Roman" w:hAnsi="Times New Roman" w:cs="Times New Roman"/>
                <w:b/>
                <w:bCs/>
                <w:i/>
                <w:sz w:val="20"/>
                <w:szCs w:val="20"/>
                <w:vertAlign w:val="superscript"/>
              </w:rPr>
              <w:t>-1</w:t>
            </w:r>
            <w:r w:rsidRPr="00210933">
              <w:rPr>
                <w:rFonts w:ascii="Times New Roman" w:hAnsi="Times New Roman" w:cs="Times New Roman"/>
                <w:b/>
                <w:bCs/>
                <w:i/>
                <w:sz w:val="20"/>
                <w:szCs w:val="20"/>
              </w:rPr>
              <w:t>)</w:t>
            </w:r>
          </w:p>
        </w:tc>
        <w:tc>
          <w:tcPr>
            <w:tcW w:w="2127" w:type="dxa"/>
            <w:tcBorders>
              <w:bottom w:val="single" w:sz="4" w:space="0" w:color="auto"/>
            </w:tcBorders>
            <w:noWrap/>
            <w:hideMark/>
          </w:tcPr>
          <w:p w14:paraId="63AB3004" w14:textId="77777777" w:rsidR="008608E0" w:rsidRPr="00210933" w:rsidRDefault="008608E0" w:rsidP="00A4247D">
            <w:pPr>
              <w:jc w:val="center"/>
              <w:rPr>
                <w:rFonts w:ascii="Times New Roman" w:hAnsi="Times New Roman" w:cs="Times New Roman"/>
                <w:b/>
                <w:bCs/>
                <w:i/>
                <w:sz w:val="20"/>
                <w:szCs w:val="20"/>
              </w:rPr>
            </w:pPr>
            <w:r w:rsidRPr="00210933">
              <w:rPr>
                <w:rFonts w:ascii="Times New Roman" w:hAnsi="Times New Roman" w:cs="Times New Roman"/>
                <w:b/>
                <w:bCs/>
                <w:i/>
                <w:sz w:val="20"/>
                <w:szCs w:val="20"/>
              </w:rPr>
              <w:t>Thermal Conductivity (W m</w:t>
            </w:r>
            <w:r w:rsidRPr="00210933">
              <w:rPr>
                <w:rFonts w:ascii="Times New Roman" w:hAnsi="Times New Roman" w:cs="Times New Roman"/>
                <w:b/>
                <w:bCs/>
                <w:i/>
                <w:sz w:val="20"/>
                <w:szCs w:val="20"/>
                <w:vertAlign w:val="superscript"/>
              </w:rPr>
              <w:t>- 1</w:t>
            </w:r>
            <w:r w:rsidRPr="00210933">
              <w:rPr>
                <w:rFonts w:ascii="Times New Roman" w:hAnsi="Times New Roman" w:cs="Times New Roman"/>
                <w:b/>
                <w:bCs/>
                <w:i/>
                <w:sz w:val="20"/>
                <w:szCs w:val="20"/>
              </w:rPr>
              <w:t>K</w:t>
            </w:r>
            <w:r w:rsidRPr="00210933">
              <w:rPr>
                <w:rFonts w:ascii="Times New Roman" w:hAnsi="Times New Roman" w:cs="Times New Roman"/>
                <w:b/>
                <w:bCs/>
                <w:i/>
                <w:sz w:val="20"/>
                <w:szCs w:val="20"/>
                <w:vertAlign w:val="superscript"/>
              </w:rPr>
              <w:t>-1</w:t>
            </w:r>
            <w:r w:rsidRPr="00210933">
              <w:rPr>
                <w:rFonts w:ascii="Times New Roman" w:hAnsi="Times New Roman" w:cs="Times New Roman"/>
                <w:b/>
                <w:bCs/>
                <w:i/>
                <w:sz w:val="20"/>
                <w:szCs w:val="20"/>
              </w:rPr>
              <w:t>)</w:t>
            </w:r>
          </w:p>
        </w:tc>
        <w:tc>
          <w:tcPr>
            <w:tcW w:w="1275" w:type="dxa"/>
            <w:tcBorders>
              <w:bottom w:val="single" w:sz="4" w:space="0" w:color="auto"/>
            </w:tcBorders>
            <w:noWrap/>
            <w:hideMark/>
          </w:tcPr>
          <w:p w14:paraId="41C1F84E" w14:textId="77777777" w:rsidR="00FC7B4D" w:rsidRDefault="008608E0" w:rsidP="00A4247D">
            <w:pPr>
              <w:jc w:val="center"/>
              <w:rPr>
                <w:rFonts w:ascii="Times New Roman" w:hAnsi="Times New Roman" w:cs="Times New Roman"/>
                <w:b/>
                <w:bCs/>
                <w:i/>
                <w:sz w:val="20"/>
                <w:szCs w:val="20"/>
              </w:rPr>
            </w:pPr>
            <w:r w:rsidRPr="00210933">
              <w:rPr>
                <w:rFonts w:ascii="Times New Roman" w:hAnsi="Times New Roman" w:cs="Times New Roman"/>
                <w:b/>
                <w:bCs/>
                <w:i/>
                <w:sz w:val="20"/>
                <w:szCs w:val="20"/>
              </w:rPr>
              <w:t xml:space="preserve">TOC </w:t>
            </w:r>
          </w:p>
          <w:p w14:paraId="395DECE2" w14:textId="39D1D415" w:rsidR="008608E0" w:rsidRPr="00210933" w:rsidRDefault="008608E0" w:rsidP="00A4247D">
            <w:pPr>
              <w:jc w:val="center"/>
              <w:rPr>
                <w:rFonts w:ascii="Times New Roman" w:hAnsi="Times New Roman" w:cs="Times New Roman"/>
                <w:b/>
                <w:bCs/>
                <w:i/>
                <w:sz w:val="20"/>
                <w:szCs w:val="20"/>
              </w:rPr>
            </w:pPr>
            <w:r w:rsidRPr="00210933">
              <w:rPr>
                <w:rFonts w:ascii="Times New Roman" w:hAnsi="Times New Roman" w:cs="Times New Roman"/>
                <w:b/>
                <w:bCs/>
                <w:i/>
                <w:sz w:val="20"/>
                <w:szCs w:val="20"/>
              </w:rPr>
              <w:t>(wt</w:t>
            </w:r>
            <w:r w:rsidR="00FC7B4D">
              <w:rPr>
                <w:rFonts w:ascii="Times New Roman" w:hAnsi="Times New Roman" w:cs="Times New Roman"/>
                <w:b/>
                <w:bCs/>
                <w:i/>
                <w:sz w:val="20"/>
                <w:szCs w:val="20"/>
              </w:rPr>
              <w:t xml:space="preserve">. </w:t>
            </w:r>
            <w:r w:rsidRPr="00210933">
              <w:rPr>
                <w:rFonts w:ascii="Times New Roman" w:hAnsi="Times New Roman" w:cs="Times New Roman"/>
                <w:b/>
                <w:bCs/>
                <w:i/>
                <w:sz w:val="20"/>
                <w:szCs w:val="20"/>
              </w:rPr>
              <w:t>%)</w:t>
            </w:r>
          </w:p>
        </w:tc>
      </w:tr>
      <w:tr w:rsidR="008608E0" w:rsidRPr="00210933" w14:paraId="4D4A1526" w14:textId="77777777" w:rsidTr="00FC7B4D">
        <w:trPr>
          <w:trHeight w:val="300"/>
        </w:trPr>
        <w:tc>
          <w:tcPr>
            <w:tcW w:w="2694" w:type="dxa"/>
            <w:tcBorders>
              <w:top w:val="single" w:sz="4" w:space="0" w:color="auto"/>
            </w:tcBorders>
            <w:noWrap/>
            <w:hideMark/>
          </w:tcPr>
          <w:p w14:paraId="608453C4"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Upper Roper Group</w:t>
            </w:r>
          </w:p>
        </w:tc>
        <w:tc>
          <w:tcPr>
            <w:tcW w:w="1418" w:type="dxa"/>
            <w:tcBorders>
              <w:top w:val="single" w:sz="4" w:space="0" w:color="auto"/>
            </w:tcBorders>
            <w:noWrap/>
            <w:hideMark/>
          </w:tcPr>
          <w:p w14:paraId="4F8E5E05"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w:t>
            </w:r>
          </w:p>
        </w:tc>
        <w:tc>
          <w:tcPr>
            <w:tcW w:w="1134" w:type="dxa"/>
            <w:tcBorders>
              <w:top w:val="single" w:sz="4" w:space="0" w:color="auto"/>
            </w:tcBorders>
            <w:noWrap/>
            <w:hideMark/>
          </w:tcPr>
          <w:p w14:paraId="23B9BB29"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20</w:t>
            </w:r>
          </w:p>
        </w:tc>
        <w:tc>
          <w:tcPr>
            <w:tcW w:w="992" w:type="dxa"/>
            <w:tcBorders>
              <w:top w:val="single" w:sz="4" w:space="0" w:color="auto"/>
            </w:tcBorders>
            <w:noWrap/>
            <w:hideMark/>
          </w:tcPr>
          <w:p w14:paraId="274DE977"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2550</w:t>
            </w:r>
          </w:p>
        </w:tc>
        <w:tc>
          <w:tcPr>
            <w:tcW w:w="1559" w:type="dxa"/>
            <w:tcBorders>
              <w:top w:val="single" w:sz="4" w:space="0" w:color="auto"/>
            </w:tcBorders>
            <w:noWrap/>
            <w:hideMark/>
          </w:tcPr>
          <w:p w14:paraId="73023E56"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tcBorders>
              <w:top w:val="single" w:sz="4" w:space="0" w:color="auto"/>
            </w:tcBorders>
            <w:noWrap/>
            <w:hideMark/>
          </w:tcPr>
          <w:p w14:paraId="381E6DB7"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tcBorders>
              <w:top w:val="single" w:sz="4" w:space="0" w:color="auto"/>
            </w:tcBorders>
            <w:noWrap/>
            <w:hideMark/>
          </w:tcPr>
          <w:p w14:paraId="0263E4B8"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w:t>
            </w:r>
          </w:p>
        </w:tc>
      </w:tr>
      <w:tr w:rsidR="008608E0" w:rsidRPr="00210933" w14:paraId="2D37E13C" w14:textId="77777777" w:rsidTr="00FC7B4D">
        <w:trPr>
          <w:trHeight w:val="300"/>
        </w:trPr>
        <w:tc>
          <w:tcPr>
            <w:tcW w:w="2694" w:type="dxa"/>
            <w:shd w:val="clear" w:color="auto" w:fill="F2F2F2" w:themeFill="background1" w:themeFillShade="F2"/>
            <w:noWrap/>
            <w:hideMark/>
          </w:tcPr>
          <w:p w14:paraId="2E1A3663"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Moroak Sandstone</w:t>
            </w:r>
          </w:p>
        </w:tc>
        <w:tc>
          <w:tcPr>
            <w:tcW w:w="1418" w:type="dxa"/>
            <w:shd w:val="clear" w:color="auto" w:fill="F2F2F2" w:themeFill="background1" w:themeFillShade="F2"/>
            <w:hideMark/>
          </w:tcPr>
          <w:p w14:paraId="3EA54DCE" w14:textId="1D0EA289" w:rsidR="008608E0" w:rsidRPr="00210933" w:rsidRDefault="008608E0" w:rsidP="00FE173C">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1</w:t>
            </w:r>
            <w:r w:rsidR="00FE173C">
              <w:rPr>
                <w:rFonts w:ascii="Times New Roman" w:hAnsi="Times New Roman" w:cs="Times New Roman"/>
                <w:sz w:val="20"/>
                <w:szCs w:val="20"/>
              </w:rPr>
              <w:t>500</w:t>
            </w:r>
          </w:p>
        </w:tc>
        <w:tc>
          <w:tcPr>
            <w:tcW w:w="1134" w:type="dxa"/>
            <w:shd w:val="clear" w:color="auto" w:fill="F2F2F2" w:themeFill="background1" w:themeFillShade="F2"/>
            <w:hideMark/>
          </w:tcPr>
          <w:p w14:paraId="66A6A981"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40</w:t>
            </w:r>
          </w:p>
        </w:tc>
        <w:tc>
          <w:tcPr>
            <w:tcW w:w="992" w:type="dxa"/>
            <w:shd w:val="clear" w:color="auto" w:fill="F2F2F2" w:themeFill="background1" w:themeFillShade="F2"/>
            <w:noWrap/>
            <w:hideMark/>
          </w:tcPr>
          <w:p w14:paraId="22C1B99E"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2450</w:t>
            </w:r>
          </w:p>
        </w:tc>
        <w:tc>
          <w:tcPr>
            <w:tcW w:w="1559" w:type="dxa"/>
            <w:shd w:val="clear" w:color="auto" w:fill="F2F2F2" w:themeFill="background1" w:themeFillShade="F2"/>
            <w:noWrap/>
            <w:hideMark/>
          </w:tcPr>
          <w:p w14:paraId="7CFAB09F"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780</w:t>
            </w:r>
          </w:p>
        </w:tc>
        <w:tc>
          <w:tcPr>
            <w:tcW w:w="2127" w:type="dxa"/>
            <w:shd w:val="clear" w:color="auto" w:fill="F2F2F2" w:themeFill="background1" w:themeFillShade="F2"/>
            <w:noWrap/>
            <w:hideMark/>
          </w:tcPr>
          <w:p w14:paraId="3856B5E1"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3.76</w:t>
            </w:r>
          </w:p>
        </w:tc>
        <w:tc>
          <w:tcPr>
            <w:tcW w:w="1275" w:type="dxa"/>
            <w:shd w:val="clear" w:color="auto" w:fill="F2F2F2" w:themeFill="background1" w:themeFillShade="F2"/>
            <w:noWrap/>
            <w:hideMark/>
          </w:tcPr>
          <w:p w14:paraId="718C44CA"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w:t>
            </w:r>
          </w:p>
        </w:tc>
      </w:tr>
      <w:tr w:rsidR="008608E0" w:rsidRPr="00210933" w14:paraId="302AE950" w14:textId="77777777" w:rsidTr="00FC7B4D">
        <w:trPr>
          <w:trHeight w:val="300"/>
        </w:trPr>
        <w:tc>
          <w:tcPr>
            <w:tcW w:w="2694" w:type="dxa"/>
            <w:noWrap/>
            <w:hideMark/>
          </w:tcPr>
          <w:p w14:paraId="53C88B58"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Upper Velkerri Formation</w:t>
            </w:r>
          </w:p>
        </w:tc>
        <w:tc>
          <w:tcPr>
            <w:tcW w:w="1418" w:type="dxa"/>
            <w:hideMark/>
          </w:tcPr>
          <w:p w14:paraId="4F9692EC" w14:textId="7854AE34" w:rsidR="008608E0" w:rsidRPr="00210933" w:rsidRDefault="008608E0" w:rsidP="00FE173C">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1</w:t>
            </w:r>
            <w:r w:rsidR="00FE173C">
              <w:rPr>
                <w:rFonts w:ascii="Times New Roman" w:hAnsi="Times New Roman" w:cs="Times New Roman"/>
                <w:sz w:val="20"/>
                <w:szCs w:val="20"/>
              </w:rPr>
              <w:t>5</w:t>
            </w:r>
            <w:r w:rsidRPr="00210933">
              <w:rPr>
                <w:rFonts w:ascii="Times New Roman" w:hAnsi="Times New Roman" w:cs="Times New Roman"/>
                <w:sz w:val="20"/>
                <w:szCs w:val="20"/>
              </w:rPr>
              <w:t>72</w:t>
            </w:r>
          </w:p>
        </w:tc>
        <w:tc>
          <w:tcPr>
            <w:tcW w:w="1134" w:type="dxa"/>
            <w:hideMark/>
          </w:tcPr>
          <w:p w14:paraId="5E8F4D69"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60</w:t>
            </w:r>
          </w:p>
        </w:tc>
        <w:tc>
          <w:tcPr>
            <w:tcW w:w="992" w:type="dxa"/>
            <w:noWrap/>
            <w:hideMark/>
          </w:tcPr>
          <w:p w14:paraId="3A99A1A4"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2625</w:t>
            </w:r>
          </w:p>
        </w:tc>
        <w:tc>
          <w:tcPr>
            <w:tcW w:w="1559" w:type="dxa"/>
            <w:noWrap/>
            <w:hideMark/>
          </w:tcPr>
          <w:p w14:paraId="32DAEB05"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noWrap/>
            <w:hideMark/>
          </w:tcPr>
          <w:p w14:paraId="1376DB83"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noWrap/>
            <w:hideMark/>
          </w:tcPr>
          <w:p w14:paraId="51CFE903"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0.55</w:t>
            </w:r>
          </w:p>
        </w:tc>
      </w:tr>
      <w:tr w:rsidR="008608E0" w:rsidRPr="00210933" w14:paraId="089DDD8A" w14:textId="77777777" w:rsidTr="00FC7B4D">
        <w:trPr>
          <w:trHeight w:val="300"/>
        </w:trPr>
        <w:tc>
          <w:tcPr>
            <w:tcW w:w="2694" w:type="dxa"/>
            <w:shd w:val="clear" w:color="auto" w:fill="F2F2F2" w:themeFill="background1" w:themeFillShade="F2"/>
            <w:noWrap/>
            <w:hideMark/>
          </w:tcPr>
          <w:p w14:paraId="79457801"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Upper Velkerri Formation</w:t>
            </w:r>
          </w:p>
        </w:tc>
        <w:tc>
          <w:tcPr>
            <w:tcW w:w="1418" w:type="dxa"/>
            <w:shd w:val="clear" w:color="auto" w:fill="F2F2F2" w:themeFill="background1" w:themeFillShade="F2"/>
            <w:hideMark/>
          </w:tcPr>
          <w:p w14:paraId="7919A550" w14:textId="6AFA56DA" w:rsidR="008608E0" w:rsidRPr="00210933" w:rsidRDefault="008608E0" w:rsidP="00FE173C">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1</w:t>
            </w:r>
            <w:r w:rsidR="00FE173C">
              <w:rPr>
                <w:rFonts w:ascii="Times New Roman" w:hAnsi="Times New Roman" w:cs="Times New Roman"/>
                <w:sz w:val="20"/>
                <w:szCs w:val="20"/>
              </w:rPr>
              <w:t>8</w:t>
            </w:r>
            <w:r w:rsidRPr="00210933">
              <w:rPr>
                <w:rFonts w:ascii="Times New Roman" w:hAnsi="Times New Roman" w:cs="Times New Roman"/>
                <w:sz w:val="20"/>
                <w:szCs w:val="20"/>
              </w:rPr>
              <w:t>00</w:t>
            </w:r>
          </w:p>
        </w:tc>
        <w:tc>
          <w:tcPr>
            <w:tcW w:w="1134" w:type="dxa"/>
            <w:shd w:val="clear" w:color="auto" w:fill="F2F2F2" w:themeFill="background1" w:themeFillShade="F2"/>
            <w:hideMark/>
          </w:tcPr>
          <w:p w14:paraId="67E7DE14"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63</w:t>
            </w:r>
          </w:p>
        </w:tc>
        <w:tc>
          <w:tcPr>
            <w:tcW w:w="992" w:type="dxa"/>
            <w:shd w:val="clear" w:color="auto" w:fill="F2F2F2" w:themeFill="background1" w:themeFillShade="F2"/>
            <w:noWrap/>
            <w:hideMark/>
          </w:tcPr>
          <w:p w14:paraId="453F9462"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2550</w:t>
            </w:r>
          </w:p>
        </w:tc>
        <w:tc>
          <w:tcPr>
            <w:tcW w:w="1559" w:type="dxa"/>
            <w:shd w:val="clear" w:color="auto" w:fill="F2F2F2" w:themeFill="background1" w:themeFillShade="F2"/>
            <w:noWrap/>
            <w:hideMark/>
          </w:tcPr>
          <w:p w14:paraId="332C5BC1"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shd w:val="clear" w:color="auto" w:fill="F2F2F2" w:themeFill="background1" w:themeFillShade="F2"/>
            <w:noWrap/>
            <w:hideMark/>
          </w:tcPr>
          <w:p w14:paraId="47C8C105"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shd w:val="clear" w:color="auto" w:fill="F2F2F2" w:themeFill="background1" w:themeFillShade="F2"/>
            <w:noWrap/>
            <w:hideMark/>
          </w:tcPr>
          <w:p w14:paraId="7BA1C8B6"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2.74</w:t>
            </w:r>
          </w:p>
        </w:tc>
      </w:tr>
      <w:tr w:rsidR="008608E0" w:rsidRPr="00210933" w14:paraId="5CBB7034" w14:textId="77777777" w:rsidTr="00FC7B4D">
        <w:trPr>
          <w:trHeight w:val="300"/>
        </w:trPr>
        <w:tc>
          <w:tcPr>
            <w:tcW w:w="2694" w:type="dxa"/>
            <w:noWrap/>
            <w:hideMark/>
          </w:tcPr>
          <w:p w14:paraId="2B48AE82"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Middle Velkerri Formation</w:t>
            </w:r>
          </w:p>
        </w:tc>
        <w:tc>
          <w:tcPr>
            <w:tcW w:w="1418" w:type="dxa"/>
            <w:hideMark/>
          </w:tcPr>
          <w:p w14:paraId="1E5B6D9F" w14:textId="630C7AB8" w:rsidR="008608E0" w:rsidRPr="00210933" w:rsidRDefault="008608E0" w:rsidP="00FE173C">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1</w:t>
            </w:r>
            <w:r w:rsidR="00FE173C">
              <w:rPr>
                <w:rFonts w:ascii="Times New Roman" w:hAnsi="Times New Roman" w:cs="Times New Roman"/>
                <w:sz w:val="20"/>
                <w:szCs w:val="20"/>
              </w:rPr>
              <w:t>8</w:t>
            </w:r>
            <w:r w:rsidRPr="00210933">
              <w:rPr>
                <w:rFonts w:ascii="Times New Roman" w:hAnsi="Times New Roman" w:cs="Times New Roman"/>
                <w:sz w:val="20"/>
                <w:szCs w:val="20"/>
              </w:rPr>
              <w:t>52</w:t>
            </w:r>
          </w:p>
        </w:tc>
        <w:tc>
          <w:tcPr>
            <w:tcW w:w="1134" w:type="dxa"/>
            <w:hideMark/>
          </w:tcPr>
          <w:p w14:paraId="34892FAC"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65</w:t>
            </w:r>
          </w:p>
        </w:tc>
        <w:tc>
          <w:tcPr>
            <w:tcW w:w="992" w:type="dxa"/>
            <w:noWrap/>
            <w:hideMark/>
          </w:tcPr>
          <w:p w14:paraId="0DF6BB32"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2550</w:t>
            </w:r>
          </w:p>
        </w:tc>
        <w:tc>
          <w:tcPr>
            <w:tcW w:w="1559" w:type="dxa"/>
            <w:noWrap/>
            <w:hideMark/>
          </w:tcPr>
          <w:p w14:paraId="4D781B3F"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noWrap/>
            <w:hideMark/>
          </w:tcPr>
          <w:p w14:paraId="13BA0E91"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noWrap/>
            <w:hideMark/>
          </w:tcPr>
          <w:p w14:paraId="63CD7983"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5.41</w:t>
            </w:r>
          </w:p>
        </w:tc>
      </w:tr>
      <w:tr w:rsidR="008608E0" w:rsidRPr="00210933" w14:paraId="05F09837" w14:textId="77777777" w:rsidTr="00FC7B4D">
        <w:trPr>
          <w:trHeight w:val="300"/>
        </w:trPr>
        <w:tc>
          <w:tcPr>
            <w:tcW w:w="2694" w:type="dxa"/>
            <w:shd w:val="clear" w:color="auto" w:fill="F2F2F2" w:themeFill="background1" w:themeFillShade="F2"/>
            <w:noWrap/>
            <w:hideMark/>
          </w:tcPr>
          <w:p w14:paraId="1DCC5E06"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Middle Velkerri Formation</w:t>
            </w:r>
          </w:p>
        </w:tc>
        <w:tc>
          <w:tcPr>
            <w:tcW w:w="1418" w:type="dxa"/>
            <w:shd w:val="clear" w:color="auto" w:fill="F2F2F2" w:themeFill="background1" w:themeFillShade="F2"/>
            <w:hideMark/>
          </w:tcPr>
          <w:p w14:paraId="443FCB92" w14:textId="1AE1F0F2" w:rsidR="008608E0" w:rsidRPr="00210933" w:rsidRDefault="008608E0" w:rsidP="00FE173C">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1</w:t>
            </w:r>
            <w:r w:rsidR="00FE173C">
              <w:rPr>
                <w:rFonts w:ascii="Times New Roman" w:hAnsi="Times New Roman" w:cs="Times New Roman"/>
                <w:sz w:val="20"/>
                <w:szCs w:val="20"/>
              </w:rPr>
              <w:t>9</w:t>
            </w:r>
            <w:r w:rsidRPr="00210933">
              <w:rPr>
                <w:rFonts w:ascii="Times New Roman" w:hAnsi="Times New Roman" w:cs="Times New Roman"/>
                <w:sz w:val="20"/>
                <w:szCs w:val="20"/>
              </w:rPr>
              <w:t>80</w:t>
            </w:r>
          </w:p>
        </w:tc>
        <w:tc>
          <w:tcPr>
            <w:tcW w:w="1134" w:type="dxa"/>
            <w:shd w:val="clear" w:color="auto" w:fill="F2F2F2" w:themeFill="background1" w:themeFillShade="F2"/>
            <w:hideMark/>
          </w:tcPr>
          <w:p w14:paraId="5E716D24"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67</w:t>
            </w:r>
          </w:p>
        </w:tc>
        <w:tc>
          <w:tcPr>
            <w:tcW w:w="992" w:type="dxa"/>
            <w:shd w:val="clear" w:color="auto" w:fill="F2F2F2" w:themeFill="background1" w:themeFillShade="F2"/>
            <w:noWrap/>
            <w:hideMark/>
          </w:tcPr>
          <w:p w14:paraId="4074D465"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2450</w:t>
            </w:r>
          </w:p>
        </w:tc>
        <w:tc>
          <w:tcPr>
            <w:tcW w:w="1559" w:type="dxa"/>
            <w:shd w:val="clear" w:color="auto" w:fill="F2F2F2" w:themeFill="background1" w:themeFillShade="F2"/>
            <w:noWrap/>
            <w:hideMark/>
          </w:tcPr>
          <w:p w14:paraId="5D050A1F"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shd w:val="clear" w:color="auto" w:fill="F2F2F2" w:themeFill="background1" w:themeFillShade="F2"/>
            <w:noWrap/>
            <w:hideMark/>
          </w:tcPr>
          <w:p w14:paraId="25622287"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shd w:val="clear" w:color="auto" w:fill="F2F2F2" w:themeFill="background1" w:themeFillShade="F2"/>
            <w:noWrap/>
            <w:hideMark/>
          </w:tcPr>
          <w:p w14:paraId="40D351A9"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3.51</w:t>
            </w:r>
          </w:p>
        </w:tc>
      </w:tr>
      <w:tr w:rsidR="008608E0" w:rsidRPr="00210933" w14:paraId="4CCBA9DD" w14:textId="77777777" w:rsidTr="00FC7B4D">
        <w:trPr>
          <w:trHeight w:val="300"/>
        </w:trPr>
        <w:tc>
          <w:tcPr>
            <w:tcW w:w="2694" w:type="dxa"/>
            <w:noWrap/>
            <w:hideMark/>
          </w:tcPr>
          <w:p w14:paraId="7A0C24F5"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Lower Velkerri Formation</w:t>
            </w:r>
          </w:p>
        </w:tc>
        <w:tc>
          <w:tcPr>
            <w:tcW w:w="1418" w:type="dxa"/>
            <w:hideMark/>
          </w:tcPr>
          <w:p w14:paraId="3EF2C6F0" w14:textId="749CDE76" w:rsidR="008608E0" w:rsidRPr="00210933" w:rsidRDefault="00FE173C" w:rsidP="00FE173C">
            <w:pPr>
              <w:spacing w:line="480" w:lineRule="auto"/>
              <w:jc w:val="center"/>
              <w:rPr>
                <w:rFonts w:ascii="Times New Roman" w:hAnsi="Times New Roman" w:cs="Times New Roman"/>
                <w:sz w:val="20"/>
                <w:szCs w:val="20"/>
              </w:rPr>
            </w:pPr>
            <w:r>
              <w:rPr>
                <w:rFonts w:ascii="Times New Roman" w:hAnsi="Times New Roman" w:cs="Times New Roman"/>
                <w:sz w:val="20"/>
                <w:szCs w:val="20"/>
              </w:rPr>
              <w:t>21</w:t>
            </w:r>
            <w:r w:rsidR="008608E0" w:rsidRPr="00210933">
              <w:rPr>
                <w:rFonts w:ascii="Times New Roman" w:hAnsi="Times New Roman" w:cs="Times New Roman"/>
                <w:sz w:val="20"/>
                <w:szCs w:val="20"/>
              </w:rPr>
              <w:t>28</w:t>
            </w:r>
          </w:p>
        </w:tc>
        <w:tc>
          <w:tcPr>
            <w:tcW w:w="1134" w:type="dxa"/>
            <w:hideMark/>
          </w:tcPr>
          <w:p w14:paraId="02C6A974"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69</w:t>
            </w:r>
          </w:p>
        </w:tc>
        <w:tc>
          <w:tcPr>
            <w:tcW w:w="992" w:type="dxa"/>
            <w:noWrap/>
            <w:hideMark/>
          </w:tcPr>
          <w:p w14:paraId="1A5F6677"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2550</w:t>
            </w:r>
          </w:p>
        </w:tc>
        <w:tc>
          <w:tcPr>
            <w:tcW w:w="1559" w:type="dxa"/>
            <w:noWrap/>
            <w:hideMark/>
          </w:tcPr>
          <w:p w14:paraId="58EA93DC"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noWrap/>
            <w:hideMark/>
          </w:tcPr>
          <w:p w14:paraId="3A374B58"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noWrap/>
            <w:hideMark/>
          </w:tcPr>
          <w:p w14:paraId="76524270"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0.12</w:t>
            </w:r>
          </w:p>
        </w:tc>
      </w:tr>
      <w:tr w:rsidR="008608E0" w:rsidRPr="00210933" w14:paraId="0C5932AC" w14:textId="77777777" w:rsidTr="00FC7B4D">
        <w:trPr>
          <w:trHeight w:val="300"/>
        </w:trPr>
        <w:tc>
          <w:tcPr>
            <w:tcW w:w="2694" w:type="dxa"/>
            <w:shd w:val="clear" w:color="auto" w:fill="F2F2F2" w:themeFill="background1" w:themeFillShade="F2"/>
            <w:noWrap/>
            <w:hideMark/>
          </w:tcPr>
          <w:p w14:paraId="3C4061C5"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Lower Velkerri Formation</w:t>
            </w:r>
          </w:p>
        </w:tc>
        <w:tc>
          <w:tcPr>
            <w:tcW w:w="1418" w:type="dxa"/>
            <w:shd w:val="clear" w:color="auto" w:fill="F2F2F2" w:themeFill="background1" w:themeFillShade="F2"/>
            <w:hideMark/>
          </w:tcPr>
          <w:p w14:paraId="0CF39E48" w14:textId="7E359597" w:rsidR="008608E0" w:rsidRPr="00210933" w:rsidRDefault="00FE173C" w:rsidP="00A4247D">
            <w:pPr>
              <w:spacing w:line="480" w:lineRule="auto"/>
              <w:jc w:val="center"/>
              <w:rPr>
                <w:rFonts w:ascii="Times New Roman" w:hAnsi="Times New Roman" w:cs="Times New Roman"/>
                <w:sz w:val="20"/>
                <w:szCs w:val="20"/>
              </w:rPr>
            </w:pPr>
            <w:r>
              <w:rPr>
                <w:rFonts w:ascii="Times New Roman" w:hAnsi="Times New Roman" w:cs="Times New Roman"/>
                <w:sz w:val="20"/>
                <w:szCs w:val="20"/>
              </w:rPr>
              <w:t>21</w:t>
            </w:r>
            <w:r w:rsidR="008608E0" w:rsidRPr="00210933">
              <w:rPr>
                <w:rFonts w:ascii="Times New Roman" w:hAnsi="Times New Roman" w:cs="Times New Roman"/>
                <w:sz w:val="20"/>
                <w:szCs w:val="20"/>
              </w:rPr>
              <w:t>35</w:t>
            </w:r>
          </w:p>
        </w:tc>
        <w:tc>
          <w:tcPr>
            <w:tcW w:w="1134" w:type="dxa"/>
            <w:shd w:val="clear" w:color="auto" w:fill="F2F2F2" w:themeFill="background1" w:themeFillShade="F2"/>
            <w:hideMark/>
          </w:tcPr>
          <w:p w14:paraId="790BF037"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70</w:t>
            </w:r>
          </w:p>
        </w:tc>
        <w:tc>
          <w:tcPr>
            <w:tcW w:w="992" w:type="dxa"/>
            <w:shd w:val="clear" w:color="auto" w:fill="F2F2F2" w:themeFill="background1" w:themeFillShade="F2"/>
            <w:noWrap/>
            <w:hideMark/>
          </w:tcPr>
          <w:p w14:paraId="5A0B79CC"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2100</w:t>
            </w:r>
          </w:p>
        </w:tc>
        <w:tc>
          <w:tcPr>
            <w:tcW w:w="1559" w:type="dxa"/>
            <w:shd w:val="clear" w:color="auto" w:fill="F2F2F2" w:themeFill="background1" w:themeFillShade="F2"/>
            <w:noWrap/>
            <w:hideMark/>
          </w:tcPr>
          <w:p w14:paraId="054C5EDB"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shd w:val="clear" w:color="auto" w:fill="F2F2F2" w:themeFill="background1" w:themeFillShade="F2"/>
            <w:noWrap/>
            <w:hideMark/>
          </w:tcPr>
          <w:p w14:paraId="5DDF9F92"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shd w:val="clear" w:color="auto" w:fill="F2F2F2" w:themeFill="background1" w:themeFillShade="F2"/>
            <w:noWrap/>
            <w:hideMark/>
          </w:tcPr>
          <w:p w14:paraId="66F97DBA"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0.07</w:t>
            </w:r>
          </w:p>
        </w:tc>
      </w:tr>
      <w:tr w:rsidR="008608E0" w:rsidRPr="00210933" w14:paraId="3B61CA97" w14:textId="77777777" w:rsidTr="00FC7B4D">
        <w:trPr>
          <w:trHeight w:val="300"/>
        </w:trPr>
        <w:tc>
          <w:tcPr>
            <w:tcW w:w="2694" w:type="dxa"/>
            <w:noWrap/>
            <w:hideMark/>
          </w:tcPr>
          <w:p w14:paraId="54F9ABC0"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Lower Velkerri Formation</w:t>
            </w:r>
          </w:p>
        </w:tc>
        <w:tc>
          <w:tcPr>
            <w:tcW w:w="1418" w:type="dxa"/>
            <w:hideMark/>
          </w:tcPr>
          <w:p w14:paraId="093ED898" w14:textId="12D0CEEB" w:rsidR="008608E0" w:rsidRPr="00210933" w:rsidRDefault="00FE173C" w:rsidP="00A4247D">
            <w:pPr>
              <w:spacing w:line="480" w:lineRule="auto"/>
              <w:jc w:val="center"/>
              <w:rPr>
                <w:rFonts w:ascii="Times New Roman" w:hAnsi="Times New Roman" w:cs="Times New Roman"/>
                <w:sz w:val="20"/>
                <w:szCs w:val="20"/>
              </w:rPr>
            </w:pPr>
            <w:r>
              <w:rPr>
                <w:rFonts w:ascii="Times New Roman" w:hAnsi="Times New Roman" w:cs="Times New Roman"/>
                <w:sz w:val="20"/>
                <w:szCs w:val="20"/>
              </w:rPr>
              <w:t>21</w:t>
            </w:r>
            <w:r w:rsidR="008608E0" w:rsidRPr="00210933">
              <w:rPr>
                <w:rFonts w:ascii="Times New Roman" w:hAnsi="Times New Roman" w:cs="Times New Roman"/>
                <w:sz w:val="20"/>
                <w:szCs w:val="20"/>
              </w:rPr>
              <w:t>40</w:t>
            </w:r>
          </w:p>
        </w:tc>
        <w:tc>
          <w:tcPr>
            <w:tcW w:w="1134" w:type="dxa"/>
            <w:hideMark/>
          </w:tcPr>
          <w:p w14:paraId="4B07EBA7"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71</w:t>
            </w:r>
          </w:p>
        </w:tc>
        <w:tc>
          <w:tcPr>
            <w:tcW w:w="992" w:type="dxa"/>
            <w:noWrap/>
            <w:hideMark/>
          </w:tcPr>
          <w:p w14:paraId="09E8347F"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2550</w:t>
            </w:r>
          </w:p>
        </w:tc>
        <w:tc>
          <w:tcPr>
            <w:tcW w:w="1559" w:type="dxa"/>
            <w:noWrap/>
            <w:hideMark/>
          </w:tcPr>
          <w:p w14:paraId="2C32A2E9"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noWrap/>
            <w:hideMark/>
          </w:tcPr>
          <w:p w14:paraId="2DA09605"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noWrap/>
            <w:hideMark/>
          </w:tcPr>
          <w:p w14:paraId="04A7FB56"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0.58</w:t>
            </w:r>
          </w:p>
        </w:tc>
      </w:tr>
      <w:tr w:rsidR="008608E0" w:rsidRPr="00210933" w14:paraId="68301FE5" w14:textId="77777777" w:rsidTr="00FC7B4D">
        <w:trPr>
          <w:trHeight w:val="300"/>
        </w:trPr>
        <w:tc>
          <w:tcPr>
            <w:tcW w:w="2694" w:type="dxa"/>
            <w:shd w:val="clear" w:color="auto" w:fill="F2F2F2" w:themeFill="background1" w:themeFillShade="F2"/>
            <w:noWrap/>
            <w:hideMark/>
          </w:tcPr>
          <w:p w14:paraId="31A5CD1C"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Lower Velkerri Formation</w:t>
            </w:r>
          </w:p>
        </w:tc>
        <w:tc>
          <w:tcPr>
            <w:tcW w:w="1418" w:type="dxa"/>
            <w:shd w:val="clear" w:color="auto" w:fill="F2F2F2" w:themeFill="background1" w:themeFillShade="F2"/>
            <w:hideMark/>
          </w:tcPr>
          <w:p w14:paraId="40BA853C" w14:textId="3A4AEA07" w:rsidR="008608E0" w:rsidRPr="00210933" w:rsidRDefault="00FE173C" w:rsidP="00FE173C">
            <w:pPr>
              <w:spacing w:line="480" w:lineRule="auto"/>
              <w:jc w:val="center"/>
              <w:rPr>
                <w:rFonts w:ascii="Times New Roman" w:hAnsi="Times New Roman" w:cs="Times New Roman"/>
                <w:sz w:val="20"/>
                <w:szCs w:val="20"/>
              </w:rPr>
            </w:pPr>
            <w:r>
              <w:rPr>
                <w:rFonts w:ascii="Times New Roman" w:hAnsi="Times New Roman" w:cs="Times New Roman"/>
                <w:sz w:val="20"/>
                <w:szCs w:val="20"/>
              </w:rPr>
              <w:t>23</w:t>
            </w:r>
            <w:r w:rsidR="008608E0" w:rsidRPr="00210933">
              <w:rPr>
                <w:rFonts w:ascii="Times New Roman" w:hAnsi="Times New Roman" w:cs="Times New Roman"/>
                <w:sz w:val="20"/>
                <w:szCs w:val="20"/>
              </w:rPr>
              <w:t>07</w:t>
            </w:r>
          </w:p>
        </w:tc>
        <w:tc>
          <w:tcPr>
            <w:tcW w:w="1134" w:type="dxa"/>
            <w:shd w:val="clear" w:color="auto" w:fill="F2F2F2" w:themeFill="background1" w:themeFillShade="F2"/>
            <w:hideMark/>
          </w:tcPr>
          <w:p w14:paraId="4E963560"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w:t>
            </w:r>
          </w:p>
        </w:tc>
        <w:tc>
          <w:tcPr>
            <w:tcW w:w="992" w:type="dxa"/>
            <w:shd w:val="clear" w:color="auto" w:fill="F2F2F2" w:themeFill="background1" w:themeFillShade="F2"/>
            <w:noWrap/>
            <w:hideMark/>
          </w:tcPr>
          <w:p w14:paraId="738A70E6"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2450</w:t>
            </w:r>
          </w:p>
        </w:tc>
        <w:tc>
          <w:tcPr>
            <w:tcW w:w="1559" w:type="dxa"/>
            <w:shd w:val="clear" w:color="auto" w:fill="F2F2F2" w:themeFill="background1" w:themeFillShade="F2"/>
            <w:noWrap/>
            <w:hideMark/>
          </w:tcPr>
          <w:p w14:paraId="211A1D45"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734</w:t>
            </w:r>
          </w:p>
        </w:tc>
        <w:tc>
          <w:tcPr>
            <w:tcW w:w="2127" w:type="dxa"/>
            <w:shd w:val="clear" w:color="auto" w:fill="F2F2F2" w:themeFill="background1" w:themeFillShade="F2"/>
            <w:noWrap/>
            <w:hideMark/>
          </w:tcPr>
          <w:p w14:paraId="01E1A155"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3.77</w:t>
            </w:r>
          </w:p>
        </w:tc>
        <w:tc>
          <w:tcPr>
            <w:tcW w:w="1275" w:type="dxa"/>
            <w:shd w:val="clear" w:color="auto" w:fill="F2F2F2" w:themeFill="background1" w:themeFillShade="F2"/>
            <w:noWrap/>
            <w:hideMark/>
          </w:tcPr>
          <w:p w14:paraId="47F6F55F"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3.12</w:t>
            </w:r>
          </w:p>
        </w:tc>
      </w:tr>
      <w:tr w:rsidR="008608E0" w:rsidRPr="00210933" w14:paraId="7012EFBD" w14:textId="77777777" w:rsidTr="00FC7B4D">
        <w:trPr>
          <w:trHeight w:val="300"/>
        </w:trPr>
        <w:tc>
          <w:tcPr>
            <w:tcW w:w="2694" w:type="dxa"/>
            <w:noWrap/>
            <w:hideMark/>
          </w:tcPr>
          <w:p w14:paraId="194471A1"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Lower Velkerri Formation</w:t>
            </w:r>
          </w:p>
        </w:tc>
        <w:tc>
          <w:tcPr>
            <w:tcW w:w="1418" w:type="dxa"/>
            <w:hideMark/>
          </w:tcPr>
          <w:p w14:paraId="71C7F45E" w14:textId="109E5CCE" w:rsidR="008608E0" w:rsidRPr="00210933" w:rsidRDefault="00FE173C" w:rsidP="00A4247D">
            <w:pPr>
              <w:spacing w:line="480" w:lineRule="auto"/>
              <w:jc w:val="center"/>
              <w:rPr>
                <w:rFonts w:ascii="Times New Roman" w:hAnsi="Times New Roman" w:cs="Times New Roman"/>
                <w:sz w:val="20"/>
                <w:szCs w:val="20"/>
              </w:rPr>
            </w:pPr>
            <w:r>
              <w:rPr>
                <w:rFonts w:ascii="Times New Roman" w:hAnsi="Times New Roman" w:cs="Times New Roman"/>
                <w:sz w:val="20"/>
                <w:szCs w:val="20"/>
              </w:rPr>
              <w:t>23</w:t>
            </w:r>
            <w:r w:rsidR="008608E0" w:rsidRPr="00210933">
              <w:rPr>
                <w:rFonts w:ascii="Times New Roman" w:hAnsi="Times New Roman" w:cs="Times New Roman"/>
                <w:sz w:val="20"/>
                <w:szCs w:val="20"/>
              </w:rPr>
              <w:t>10</w:t>
            </w:r>
          </w:p>
        </w:tc>
        <w:tc>
          <w:tcPr>
            <w:tcW w:w="1134" w:type="dxa"/>
            <w:hideMark/>
          </w:tcPr>
          <w:p w14:paraId="1EF6B3E9"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74</w:t>
            </w:r>
          </w:p>
        </w:tc>
        <w:tc>
          <w:tcPr>
            <w:tcW w:w="992" w:type="dxa"/>
            <w:noWrap/>
            <w:hideMark/>
          </w:tcPr>
          <w:p w14:paraId="7960AB90"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2650</w:t>
            </w:r>
          </w:p>
        </w:tc>
        <w:tc>
          <w:tcPr>
            <w:tcW w:w="1559" w:type="dxa"/>
            <w:noWrap/>
            <w:hideMark/>
          </w:tcPr>
          <w:p w14:paraId="0CA29CD1"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noWrap/>
            <w:hideMark/>
          </w:tcPr>
          <w:p w14:paraId="5566A7CF"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noWrap/>
            <w:hideMark/>
          </w:tcPr>
          <w:p w14:paraId="5E409EA4"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0.78</w:t>
            </w:r>
          </w:p>
        </w:tc>
      </w:tr>
      <w:tr w:rsidR="008608E0" w:rsidRPr="00210933" w14:paraId="3AA2524C" w14:textId="77777777" w:rsidTr="00FC7B4D">
        <w:trPr>
          <w:trHeight w:val="300"/>
        </w:trPr>
        <w:tc>
          <w:tcPr>
            <w:tcW w:w="2694" w:type="dxa"/>
            <w:shd w:val="clear" w:color="auto" w:fill="F2F2F2" w:themeFill="background1" w:themeFillShade="F2"/>
            <w:noWrap/>
            <w:hideMark/>
          </w:tcPr>
          <w:p w14:paraId="218410A9"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Bessie Creek Sandstone</w:t>
            </w:r>
          </w:p>
        </w:tc>
        <w:tc>
          <w:tcPr>
            <w:tcW w:w="1418" w:type="dxa"/>
            <w:shd w:val="clear" w:color="auto" w:fill="F2F2F2" w:themeFill="background1" w:themeFillShade="F2"/>
            <w:noWrap/>
            <w:hideMark/>
          </w:tcPr>
          <w:p w14:paraId="627FE58E" w14:textId="00C5F788" w:rsidR="008608E0" w:rsidRPr="00210933" w:rsidRDefault="00FE173C" w:rsidP="00A4247D">
            <w:pPr>
              <w:spacing w:line="480" w:lineRule="auto"/>
              <w:jc w:val="center"/>
              <w:rPr>
                <w:rFonts w:ascii="Times New Roman" w:hAnsi="Times New Roman" w:cs="Times New Roman"/>
                <w:sz w:val="20"/>
                <w:szCs w:val="20"/>
              </w:rPr>
            </w:pPr>
            <w:r>
              <w:rPr>
                <w:rFonts w:ascii="Times New Roman" w:hAnsi="Times New Roman" w:cs="Times New Roman"/>
                <w:sz w:val="20"/>
                <w:szCs w:val="20"/>
              </w:rPr>
              <w:t>24</w:t>
            </w:r>
            <w:r w:rsidR="008608E0" w:rsidRPr="00210933">
              <w:rPr>
                <w:rFonts w:ascii="Times New Roman" w:hAnsi="Times New Roman" w:cs="Times New Roman"/>
                <w:sz w:val="20"/>
                <w:szCs w:val="20"/>
              </w:rPr>
              <w:t>10</w:t>
            </w:r>
          </w:p>
        </w:tc>
        <w:tc>
          <w:tcPr>
            <w:tcW w:w="1134" w:type="dxa"/>
            <w:shd w:val="clear" w:color="auto" w:fill="F2F2F2" w:themeFill="background1" w:themeFillShade="F2"/>
            <w:noWrap/>
            <w:hideMark/>
          </w:tcPr>
          <w:p w14:paraId="5F966156"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106</w:t>
            </w:r>
          </w:p>
        </w:tc>
        <w:tc>
          <w:tcPr>
            <w:tcW w:w="992" w:type="dxa"/>
            <w:shd w:val="clear" w:color="auto" w:fill="F2F2F2" w:themeFill="background1" w:themeFillShade="F2"/>
            <w:noWrap/>
            <w:hideMark/>
          </w:tcPr>
          <w:p w14:paraId="2720F789"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2750</w:t>
            </w:r>
          </w:p>
        </w:tc>
        <w:tc>
          <w:tcPr>
            <w:tcW w:w="1559" w:type="dxa"/>
            <w:shd w:val="clear" w:color="auto" w:fill="F2F2F2" w:themeFill="background1" w:themeFillShade="F2"/>
            <w:noWrap/>
            <w:hideMark/>
          </w:tcPr>
          <w:p w14:paraId="36C50DB3"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780</w:t>
            </w:r>
          </w:p>
        </w:tc>
        <w:tc>
          <w:tcPr>
            <w:tcW w:w="2127" w:type="dxa"/>
            <w:shd w:val="clear" w:color="auto" w:fill="F2F2F2" w:themeFill="background1" w:themeFillShade="F2"/>
            <w:noWrap/>
            <w:hideMark/>
          </w:tcPr>
          <w:p w14:paraId="40AB5814"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3.76</w:t>
            </w:r>
          </w:p>
        </w:tc>
        <w:tc>
          <w:tcPr>
            <w:tcW w:w="1275" w:type="dxa"/>
            <w:shd w:val="clear" w:color="auto" w:fill="F2F2F2" w:themeFill="background1" w:themeFillShade="F2"/>
            <w:noWrap/>
            <w:hideMark/>
          </w:tcPr>
          <w:p w14:paraId="085EDF1F"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w:t>
            </w:r>
          </w:p>
        </w:tc>
      </w:tr>
      <w:tr w:rsidR="008608E0" w:rsidRPr="00210933" w14:paraId="6D5638D0" w14:textId="77777777" w:rsidTr="00FC7B4D">
        <w:trPr>
          <w:trHeight w:val="300"/>
        </w:trPr>
        <w:tc>
          <w:tcPr>
            <w:tcW w:w="2694" w:type="dxa"/>
            <w:noWrap/>
            <w:hideMark/>
          </w:tcPr>
          <w:p w14:paraId="003C03A2"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Bessie Creek Sandstone</w:t>
            </w:r>
          </w:p>
        </w:tc>
        <w:tc>
          <w:tcPr>
            <w:tcW w:w="1418" w:type="dxa"/>
            <w:noWrap/>
            <w:hideMark/>
          </w:tcPr>
          <w:p w14:paraId="1963FF0C" w14:textId="23E5FD59" w:rsidR="008608E0" w:rsidRPr="00210933" w:rsidRDefault="00FE173C" w:rsidP="00A4247D">
            <w:pPr>
              <w:spacing w:line="480" w:lineRule="auto"/>
              <w:jc w:val="center"/>
              <w:rPr>
                <w:rFonts w:ascii="Times New Roman" w:hAnsi="Times New Roman" w:cs="Times New Roman"/>
                <w:sz w:val="20"/>
                <w:szCs w:val="20"/>
              </w:rPr>
            </w:pPr>
            <w:r>
              <w:rPr>
                <w:rFonts w:ascii="Times New Roman" w:hAnsi="Times New Roman" w:cs="Times New Roman"/>
                <w:sz w:val="20"/>
                <w:szCs w:val="20"/>
              </w:rPr>
              <w:t>24</w:t>
            </w:r>
            <w:r w:rsidR="008608E0" w:rsidRPr="00210933">
              <w:rPr>
                <w:rFonts w:ascii="Times New Roman" w:hAnsi="Times New Roman" w:cs="Times New Roman"/>
                <w:sz w:val="20"/>
                <w:szCs w:val="20"/>
              </w:rPr>
              <w:t>15</w:t>
            </w:r>
          </w:p>
        </w:tc>
        <w:tc>
          <w:tcPr>
            <w:tcW w:w="1134" w:type="dxa"/>
            <w:noWrap/>
            <w:hideMark/>
          </w:tcPr>
          <w:p w14:paraId="2C3C34BF"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108</w:t>
            </w:r>
          </w:p>
        </w:tc>
        <w:tc>
          <w:tcPr>
            <w:tcW w:w="992" w:type="dxa"/>
            <w:noWrap/>
            <w:hideMark/>
          </w:tcPr>
          <w:p w14:paraId="1CC04CE0"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2500</w:t>
            </w:r>
          </w:p>
        </w:tc>
        <w:tc>
          <w:tcPr>
            <w:tcW w:w="1559" w:type="dxa"/>
            <w:noWrap/>
            <w:hideMark/>
          </w:tcPr>
          <w:p w14:paraId="1851EFFD"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780</w:t>
            </w:r>
          </w:p>
        </w:tc>
        <w:tc>
          <w:tcPr>
            <w:tcW w:w="2127" w:type="dxa"/>
            <w:noWrap/>
            <w:hideMark/>
          </w:tcPr>
          <w:p w14:paraId="1A7082BF"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3.76</w:t>
            </w:r>
          </w:p>
        </w:tc>
        <w:tc>
          <w:tcPr>
            <w:tcW w:w="1275" w:type="dxa"/>
            <w:noWrap/>
            <w:hideMark/>
          </w:tcPr>
          <w:p w14:paraId="695497F3"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w:t>
            </w:r>
          </w:p>
        </w:tc>
      </w:tr>
      <w:tr w:rsidR="008608E0" w:rsidRPr="00210933" w14:paraId="6E704B19" w14:textId="77777777" w:rsidTr="00FC7B4D">
        <w:trPr>
          <w:trHeight w:val="300"/>
        </w:trPr>
        <w:tc>
          <w:tcPr>
            <w:tcW w:w="2694" w:type="dxa"/>
            <w:shd w:val="clear" w:color="auto" w:fill="F2F2F2" w:themeFill="background1" w:themeFillShade="F2"/>
            <w:noWrap/>
            <w:hideMark/>
          </w:tcPr>
          <w:p w14:paraId="1FCE8737"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Corcoran Formation</w:t>
            </w:r>
          </w:p>
        </w:tc>
        <w:tc>
          <w:tcPr>
            <w:tcW w:w="1418" w:type="dxa"/>
            <w:shd w:val="clear" w:color="auto" w:fill="F2F2F2" w:themeFill="background1" w:themeFillShade="F2"/>
            <w:noWrap/>
            <w:hideMark/>
          </w:tcPr>
          <w:p w14:paraId="51260200" w14:textId="357A22D4" w:rsidR="008608E0" w:rsidRPr="00210933" w:rsidRDefault="008608E0" w:rsidP="00FE173C">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w:t>
            </w:r>
            <w:r w:rsidR="00FE173C">
              <w:rPr>
                <w:rFonts w:ascii="Times New Roman" w:hAnsi="Times New Roman" w:cs="Times New Roman"/>
                <w:sz w:val="20"/>
                <w:szCs w:val="20"/>
              </w:rPr>
              <w:t>8</w:t>
            </w:r>
            <w:r w:rsidRPr="00210933">
              <w:rPr>
                <w:rFonts w:ascii="Times New Roman" w:hAnsi="Times New Roman" w:cs="Times New Roman"/>
                <w:sz w:val="20"/>
                <w:szCs w:val="20"/>
              </w:rPr>
              <w:t>27</w:t>
            </w:r>
          </w:p>
        </w:tc>
        <w:tc>
          <w:tcPr>
            <w:tcW w:w="1134" w:type="dxa"/>
            <w:shd w:val="clear" w:color="auto" w:fill="F2F2F2" w:themeFill="background1" w:themeFillShade="F2"/>
            <w:noWrap/>
            <w:hideMark/>
          </w:tcPr>
          <w:p w14:paraId="3A279C9B"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120</w:t>
            </w:r>
          </w:p>
        </w:tc>
        <w:tc>
          <w:tcPr>
            <w:tcW w:w="992" w:type="dxa"/>
            <w:shd w:val="clear" w:color="auto" w:fill="F2F2F2" w:themeFill="background1" w:themeFillShade="F2"/>
            <w:noWrap/>
            <w:hideMark/>
          </w:tcPr>
          <w:p w14:paraId="1CAFC1A6"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2625</w:t>
            </w:r>
          </w:p>
        </w:tc>
        <w:tc>
          <w:tcPr>
            <w:tcW w:w="1559" w:type="dxa"/>
            <w:shd w:val="clear" w:color="auto" w:fill="F2F2F2" w:themeFill="background1" w:themeFillShade="F2"/>
            <w:noWrap/>
            <w:hideMark/>
          </w:tcPr>
          <w:p w14:paraId="1DA4C0E4"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780</w:t>
            </w:r>
          </w:p>
        </w:tc>
        <w:tc>
          <w:tcPr>
            <w:tcW w:w="2127" w:type="dxa"/>
            <w:shd w:val="clear" w:color="auto" w:fill="F2F2F2" w:themeFill="background1" w:themeFillShade="F2"/>
            <w:noWrap/>
            <w:hideMark/>
          </w:tcPr>
          <w:p w14:paraId="5488BE86"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3.76</w:t>
            </w:r>
          </w:p>
        </w:tc>
        <w:tc>
          <w:tcPr>
            <w:tcW w:w="1275" w:type="dxa"/>
            <w:shd w:val="clear" w:color="auto" w:fill="F2F2F2" w:themeFill="background1" w:themeFillShade="F2"/>
            <w:noWrap/>
            <w:hideMark/>
          </w:tcPr>
          <w:p w14:paraId="1D01F066"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w:t>
            </w:r>
          </w:p>
        </w:tc>
      </w:tr>
      <w:tr w:rsidR="008608E0" w:rsidRPr="00210933" w14:paraId="447DAC9C" w14:textId="77777777" w:rsidTr="00FC7B4D">
        <w:trPr>
          <w:trHeight w:val="300"/>
        </w:trPr>
        <w:tc>
          <w:tcPr>
            <w:tcW w:w="2694" w:type="dxa"/>
            <w:noWrap/>
            <w:hideMark/>
          </w:tcPr>
          <w:p w14:paraId="64FDFA50" w14:textId="77777777" w:rsidR="008608E0" w:rsidRPr="00210933" w:rsidRDefault="008608E0" w:rsidP="00A4247D">
            <w:pPr>
              <w:spacing w:line="480" w:lineRule="auto"/>
              <w:rPr>
                <w:rFonts w:ascii="Times New Roman" w:hAnsi="Times New Roman" w:cs="Times New Roman"/>
                <w:sz w:val="20"/>
                <w:szCs w:val="20"/>
              </w:rPr>
            </w:pPr>
            <w:r w:rsidRPr="00210933">
              <w:rPr>
                <w:rFonts w:ascii="Times New Roman" w:hAnsi="Times New Roman" w:cs="Times New Roman"/>
                <w:sz w:val="20"/>
                <w:szCs w:val="20"/>
              </w:rPr>
              <w:t>Corcoran Formation</w:t>
            </w:r>
          </w:p>
        </w:tc>
        <w:tc>
          <w:tcPr>
            <w:tcW w:w="1418" w:type="dxa"/>
            <w:noWrap/>
            <w:hideMark/>
          </w:tcPr>
          <w:p w14:paraId="7E78AF31" w14:textId="58B6E53F" w:rsidR="008608E0" w:rsidRPr="00210933" w:rsidRDefault="008608E0" w:rsidP="00FE173C">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w:t>
            </w:r>
            <w:r w:rsidR="00FE173C">
              <w:rPr>
                <w:rFonts w:ascii="Times New Roman" w:hAnsi="Times New Roman" w:cs="Times New Roman"/>
                <w:sz w:val="20"/>
                <w:szCs w:val="20"/>
              </w:rPr>
              <w:t>9</w:t>
            </w:r>
            <w:r w:rsidRPr="00210933">
              <w:rPr>
                <w:rFonts w:ascii="Times New Roman" w:hAnsi="Times New Roman" w:cs="Times New Roman"/>
                <w:sz w:val="20"/>
                <w:szCs w:val="20"/>
              </w:rPr>
              <w:t>80</w:t>
            </w:r>
          </w:p>
        </w:tc>
        <w:tc>
          <w:tcPr>
            <w:tcW w:w="1134" w:type="dxa"/>
            <w:noWrap/>
            <w:hideMark/>
          </w:tcPr>
          <w:p w14:paraId="76E5ECB9"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122</w:t>
            </w:r>
          </w:p>
        </w:tc>
        <w:tc>
          <w:tcPr>
            <w:tcW w:w="992" w:type="dxa"/>
            <w:noWrap/>
            <w:hideMark/>
          </w:tcPr>
          <w:p w14:paraId="6DB77435"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2625</w:t>
            </w:r>
          </w:p>
        </w:tc>
        <w:tc>
          <w:tcPr>
            <w:tcW w:w="1559" w:type="dxa"/>
            <w:noWrap/>
            <w:hideMark/>
          </w:tcPr>
          <w:p w14:paraId="31F210F6"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731</w:t>
            </w:r>
          </w:p>
        </w:tc>
        <w:tc>
          <w:tcPr>
            <w:tcW w:w="2127" w:type="dxa"/>
            <w:noWrap/>
            <w:hideMark/>
          </w:tcPr>
          <w:p w14:paraId="2E818303"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2.79</w:t>
            </w:r>
          </w:p>
        </w:tc>
        <w:tc>
          <w:tcPr>
            <w:tcW w:w="1275" w:type="dxa"/>
            <w:noWrap/>
            <w:hideMark/>
          </w:tcPr>
          <w:p w14:paraId="398BD52B" w14:textId="77777777" w:rsidR="008608E0" w:rsidRPr="00210933" w:rsidRDefault="008608E0" w:rsidP="00A4247D">
            <w:pPr>
              <w:spacing w:line="480" w:lineRule="auto"/>
              <w:jc w:val="center"/>
              <w:rPr>
                <w:rFonts w:ascii="Times New Roman" w:hAnsi="Times New Roman" w:cs="Times New Roman"/>
                <w:sz w:val="20"/>
                <w:szCs w:val="20"/>
              </w:rPr>
            </w:pPr>
            <w:r w:rsidRPr="00210933">
              <w:rPr>
                <w:rFonts w:ascii="Times New Roman" w:hAnsi="Times New Roman" w:cs="Times New Roman"/>
                <w:sz w:val="20"/>
                <w:szCs w:val="20"/>
              </w:rPr>
              <w:t>0</w:t>
            </w:r>
          </w:p>
        </w:tc>
      </w:tr>
    </w:tbl>
    <w:p w14:paraId="0A25CA05" w14:textId="1EF0EF67" w:rsidR="008608E0" w:rsidRPr="00210933" w:rsidRDefault="008608E0" w:rsidP="008608E0">
      <w:pPr>
        <w:spacing w:line="480" w:lineRule="auto"/>
        <w:rPr>
          <w:rFonts w:ascii="Times New Roman" w:hAnsi="Times New Roman" w:cs="Times New Roman"/>
          <w:sz w:val="20"/>
          <w:szCs w:val="20"/>
        </w:rPr>
      </w:pPr>
      <w:r w:rsidRPr="00210933">
        <w:rPr>
          <w:rFonts w:ascii="Times New Roman" w:hAnsi="Times New Roman" w:cs="Times New Roman"/>
          <w:sz w:val="20"/>
          <w:szCs w:val="20"/>
        </w:rPr>
        <w:t xml:space="preserve">Table </w:t>
      </w:r>
      <w:r w:rsidR="006A23DC">
        <w:rPr>
          <w:rFonts w:ascii="Times New Roman" w:hAnsi="Times New Roman" w:cs="Times New Roman"/>
          <w:sz w:val="20"/>
          <w:szCs w:val="20"/>
        </w:rPr>
        <w:t>S2</w:t>
      </w:r>
      <w:r w:rsidRPr="00210933">
        <w:rPr>
          <w:rFonts w:ascii="Times New Roman" w:hAnsi="Times New Roman" w:cs="Times New Roman"/>
          <w:sz w:val="20"/>
          <w:szCs w:val="20"/>
        </w:rPr>
        <w:t xml:space="preserve">. Lithospheric </w:t>
      </w:r>
      <w:r w:rsidR="00210933">
        <w:rPr>
          <w:rFonts w:ascii="Times New Roman" w:hAnsi="Times New Roman" w:cs="Times New Roman"/>
          <w:sz w:val="20"/>
          <w:szCs w:val="20"/>
        </w:rPr>
        <w:t>and</w:t>
      </w:r>
      <w:r w:rsidRPr="00210933">
        <w:rPr>
          <w:rFonts w:ascii="Times New Roman" w:hAnsi="Times New Roman" w:cs="Times New Roman"/>
          <w:sz w:val="20"/>
          <w:szCs w:val="20"/>
        </w:rPr>
        <w:t xml:space="preserve"> stratigraphic parameters used for one-dimensional modelling with </w:t>
      </w:r>
      <w:proofErr w:type="spellStart"/>
      <w:r w:rsidRPr="00210933">
        <w:rPr>
          <w:rFonts w:ascii="Times New Roman" w:hAnsi="Times New Roman" w:cs="Times New Roman"/>
          <w:sz w:val="20"/>
          <w:szCs w:val="20"/>
        </w:rPr>
        <w:t>SILLi</w:t>
      </w:r>
      <w:proofErr w:type="spellEnd"/>
      <w:r w:rsidRPr="00210933">
        <w:rPr>
          <w:rFonts w:ascii="Times New Roman" w:hAnsi="Times New Roman" w:cs="Times New Roman"/>
          <w:sz w:val="20"/>
          <w:szCs w:val="20"/>
        </w:rPr>
        <w:t xml:space="preserve"> 1.0</w:t>
      </w:r>
      <w:r w:rsidR="00210933">
        <w:rPr>
          <w:rFonts w:ascii="Times New Roman" w:hAnsi="Times New Roman" w:cs="Times New Roman"/>
          <w:sz w:val="20"/>
          <w:szCs w:val="20"/>
        </w:rPr>
        <w:t>.</w:t>
      </w:r>
    </w:p>
    <w:tbl>
      <w:tblPr>
        <w:tblStyle w:val="PlainTable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482"/>
      </w:tblGrid>
      <w:tr w:rsidR="008608E0" w:rsidRPr="00210933" w14:paraId="564415FA" w14:textId="77777777" w:rsidTr="006A23D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0DCD0BA0"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Top Depth (m)</w:t>
            </w:r>
          </w:p>
        </w:tc>
        <w:tc>
          <w:tcPr>
            <w:tcW w:w="1482" w:type="dxa"/>
            <w:noWrap/>
            <w:hideMark/>
          </w:tcPr>
          <w:p w14:paraId="0E43B359" w14:textId="2BAF57AE" w:rsidR="008608E0" w:rsidRPr="006A23DC" w:rsidRDefault="008608E0" w:rsidP="00FE173C">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6A23DC">
              <w:rPr>
                <w:rFonts w:ascii="Times New Roman" w:hAnsi="Times New Roman" w:cs="Times New Roman"/>
                <w:b w:val="0"/>
                <w:sz w:val="20"/>
                <w:szCs w:val="20"/>
              </w:rPr>
              <w:t>2</w:t>
            </w:r>
            <w:r w:rsidR="00FE173C">
              <w:rPr>
                <w:rFonts w:ascii="Times New Roman" w:hAnsi="Times New Roman" w:cs="Times New Roman"/>
                <w:b w:val="0"/>
                <w:sz w:val="20"/>
                <w:szCs w:val="20"/>
              </w:rPr>
              <w:t>8</w:t>
            </w:r>
            <w:r w:rsidRPr="006A23DC">
              <w:rPr>
                <w:rFonts w:ascii="Times New Roman" w:hAnsi="Times New Roman" w:cs="Times New Roman"/>
                <w:b w:val="0"/>
                <w:sz w:val="20"/>
                <w:szCs w:val="20"/>
              </w:rPr>
              <w:t>68</w:t>
            </w:r>
          </w:p>
        </w:tc>
      </w:tr>
      <w:tr w:rsidR="008608E0" w:rsidRPr="00210933" w14:paraId="24D1E5A3" w14:textId="77777777" w:rsidTr="006A23D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0D0BFDF3"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Thickness (m)</w:t>
            </w:r>
          </w:p>
        </w:tc>
        <w:tc>
          <w:tcPr>
            <w:tcW w:w="1482" w:type="dxa"/>
            <w:noWrap/>
            <w:hideMark/>
          </w:tcPr>
          <w:p w14:paraId="201A1CDC" w14:textId="77777777" w:rsidR="008608E0" w:rsidRPr="00210933" w:rsidRDefault="008608E0" w:rsidP="00A4247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75</w:t>
            </w:r>
          </w:p>
        </w:tc>
      </w:tr>
      <w:tr w:rsidR="008608E0" w:rsidRPr="00210933" w14:paraId="4243A71E" w14:textId="77777777" w:rsidTr="006A23DC">
        <w:trPr>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23635D28"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Emplacement Time (Ma)</w:t>
            </w:r>
          </w:p>
        </w:tc>
        <w:tc>
          <w:tcPr>
            <w:tcW w:w="1482" w:type="dxa"/>
            <w:noWrap/>
            <w:hideMark/>
          </w:tcPr>
          <w:p w14:paraId="35F99130" w14:textId="77777777" w:rsidR="008608E0" w:rsidRPr="00210933" w:rsidRDefault="008608E0" w:rsidP="00A4247D">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10</w:t>
            </w:r>
          </w:p>
        </w:tc>
      </w:tr>
      <w:tr w:rsidR="008608E0" w:rsidRPr="00210933" w14:paraId="4CB88E8E" w14:textId="77777777" w:rsidTr="006A23D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386F0B15"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Emplacement Temp (°C)</w:t>
            </w:r>
          </w:p>
        </w:tc>
        <w:tc>
          <w:tcPr>
            <w:tcW w:w="1482" w:type="dxa"/>
            <w:noWrap/>
            <w:hideMark/>
          </w:tcPr>
          <w:p w14:paraId="1708EEA9" w14:textId="77777777" w:rsidR="008608E0" w:rsidRPr="00210933" w:rsidRDefault="008608E0" w:rsidP="00A4247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1150</w:t>
            </w:r>
          </w:p>
        </w:tc>
      </w:tr>
      <w:tr w:rsidR="008608E0" w:rsidRPr="00210933" w14:paraId="617CD3CF" w14:textId="77777777" w:rsidTr="006A23DC">
        <w:trPr>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5F41AA29"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Density melt (kg m</w:t>
            </w:r>
            <w:r w:rsidRPr="00210933">
              <w:rPr>
                <w:rFonts w:ascii="Times New Roman" w:hAnsi="Times New Roman" w:cs="Times New Roman"/>
                <w:i/>
                <w:sz w:val="20"/>
                <w:szCs w:val="20"/>
                <w:vertAlign w:val="superscript"/>
              </w:rPr>
              <w:t>-3</w:t>
            </w:r>
            <w:r w:rsidRPr="00210933">
              <w:rPr>
                <w:rFonts w:ascii="Times New Roman" w:hAnsi="Times New Roman" w:cs="Times New Roman"/>
                <w:i/>
                <w:sz w:val="20"/>
                <w:szCs w:val="20"/>
              </w:rPr>
              <w:t>)</w:t>
            </w:r>
          </w:p>
        </w:tc>
        <w:tc>
          <w:tcPr>
            <w:tcW w:w="1482" w:type="dxa"/>
            <w:noWrap/>
            <w:hideMark/>
          </w:tcPr>
          <w:p w14:paraId="7529D928" w14:textId="77777777" w:rsidR="008608E0" w:rsidRPr="00210933" w:rsidRDefault="008608E0" w:rsidP="00A4247D">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2550</w:t>
            </w:r>
          </w:p>
        </w:tc>
      </w:tr>
      <w:tr w:rsidR="008608E0" w:rsidRPr="00210933" w14:paraId="1A488E7A" w14:textId="77777777" w:rsidTr="006A23D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0CD684D8"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Heat Capacity melt (J kg</w:t>
            </w:r>
            <w:r w:rsidRPr="00210933">
              <w:rPr>
                <w:rFonts w:ascii="Times New Roman" w:hAnsi="Times New Roman" w:cs="Times New Roman"/>
                <w:i/>
                <w:sz w:val="20"/>
                <w:szCs w:val="20"/>
                <w:vertAlign w:val="superscript"/>
              </w:rPr>
              <w:t xml:space="preserve">-1 </w:t>
            </w:r>
            <w:r w:rsidRPr="00210933">
              <w:rPr>
                <w:rFonts w:ascii="Times New Roman" w:hAnsi="Times New Roman" w:cs="Times New Roman"/>
                <w:i/>
                <w:sz w:val="20"/>
                <w:szCs w:val="20"/>
              </w:rPr>
              <w:t>K</w:t>
            </w:r>
            <w:r w:rsidRPr="00210933">
              <w:rPr>
                <w:rFonts w:ascii="Times New Roman" w:hAnsi="Times New Roman" w:cs="Times New Roman"/>
                <w:i/>
                <w:sz w:val="20"/>
                <w:szCs w:val="20"/>
                <w:vertAlign w:val="superscript"/>
              </w:rPr>
              <w:t>-1</w:t>
            </w:r>
            <w:r w:rsidRPr="00210933">
              <w:rPr>
                <w:rFonts w:ascii="Times New Roman" w:hAnsi="Times New Roman" w:cs="Times New Roman"/>
                <w:i/>
                <w:sz w:val="20"/>
                <w:szCs w:val="20"/>
              </w:rPr>
              <w:t>)</w:t>
            </w:r>
          </w:p>
        </w:tc>
        <w:tc>
          <w:tcPr>
            <w:tcW w:w="1482" w:type="dxa"/>
            <w:noWrap/>
            <w:hideMark/>
          </w:tcPr>
          <w:p w14:paraId="1CB30160" w14:textId="77777777" w:rsidR="008608E0" w:rsidRPr="00210933" w:rsidRDefault="008608E0" w:rsidP="00A4247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850</w:t>
            </w:r>
          </w:p>
        </w:tc>
      </w:tr>
      <w:tr w:rsidR="008608E0" w:rsidRPr="00210933" w14:paraId="68CD35D5" w14:textId="77777777" w:rsidTr="006A23DC">
        <w:trPr>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6C8EA68C"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Density solid (kg m</w:t>
            </w:r>
            <w:r w:rsidRPr="00210933">
              <w:rPr>
                <w:rFonts w:ascii="Times New Roman" w:hAnsi="Times New Roman" w:cs="Times New Roman"/>
                <w:i/>
                <w:sz w:val="20"/>
                <w:szCs w:val="20"/>
                <w:vertAlign w:val="superscript"/>
              </w:rPr>
              <w:t>-3</w:t>
            </w:r>
            <w:r w:rsidRPr="00210933">
              <w:rPr>
                <w:rFonts w:ascii="Times New Roman" w:hAnsi="Times New Roman" w:cs="Times New Roman"/>
                <w:i/>
                <w:sz w:val="20"/>
                <w:szCs w:val="20"/>
              </w:rPr>
              <w:t>)</w:t>
            </w:r>
          </w:p>
        </w:tc>
        <w:tc>
          <w:tcPr>
            <w:tcW w:w="1482" w:type="dxa"/>
            <w:noWrap/>
            <w:hideMark/>
          </w:tcPr>
          <w:p w14:paraId="37984CF5" w14:textId="77777777" w:rsidR="008608E0" w:rsidRPr="00210933" w:rsidRDefault="008608E0" w:rsidP="00A4247D">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3000</w:t>
            </w:r>
          </w:p>
        </w:tc>
      </w:tr>
      <w:tr w:rsidR="008608E0" w:rsidRPr="00210933" w14:paraId="4F057426" w14:textId="77777777" w:rsidTr="006A23D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23971CA0"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Heat Capacity solid (J kg</w:t>
            </w:r>
            <w:r w:rsidRPr="00210933">
              <w:rPr>
                <w:rFonts w:ascii="Times New Roman" w:hAnsi="Times New Roman" w:cs="Times New Roman"/>
                <w:i/>
                <w:sz w:val="20"/>
                <w:szCs w:val="20"/>
                <w:vertAlign w:val="superscript"/>
              </w:rPr>
              <w:t>-1</w:t>
            </w:r>
            <w:r w:rsidRPr="00210933">
              <w:rPr>
                <w:rFonts w:ascii="Times New Roman" w:hAnsi="Times New Roman" w:cs="Times New Roman"/>
                <w:i/>
                <w:sz w:val="20"/>
                <w:szCs w:val="20"/>
              </w:rPr>
              <w:t xml:space="preserve"> K</w:t>
            </w:r>
            <w:r w:rsidRPr="00210933">
              <w:rPr>
                <w:rFonts w:ascii="Times New Roman" w:hAnsi="Times New Roman" w:cs="Times New Roman"/>
                <w:i/>
                <w:sz w:val="20"/>
                <w:szCs w:val="20"/>
                <w:vertAlign w:val="superscript"/>
              </w:rPr>
              <w:t>-1</w:t>
            </w:r>
            <w:r w:rsidRPr="00210933">
              <w:rPr>
                <w:rFonts w:ascii="Times New Roman" w:hAnsi="Times New Roman" w:cs="Times New Roman"/>
                <w:i/>
                <w:sz w:val="20"/>
                <w:szCs w:val="20"/>
              </w:rPr>
              <w:t>)</w:t>
            </w:r>
          </w:p>
        </w:tc>
        <w:tc>
          <w:tcPr>
            <w:tcW w:w="1482" w:type="dxa"/>
            <w:noWrap/>
            <w:hideMark/>
          </w:tcPr>
          <w:p w14:paraId="7731DD58" w14:textId="77777777" w:rsidR="008608E0" w:rsidRPr="00210933" w:rsidRDefault="008608E0" w:rsidP="00A4247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820</w:t>
            </w:r>
          </w:p>
        </w:tc>
      </w:tr>
      <w:tr w:rsidR="008608E0" w:rsidRPr="00210933" w14:paraId="3A3DFBE0" w14:textId="77777777" w:rsidTr="006A23DC">
        <w:trPr>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1F45C753"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Thermal Conductivity (W m</w:t>
            </w:r>
            <w:r w:rsidRPr="00210933">
              <w:rPr>
                <w:rFonts w:ascii="Times New Roman" w:hAnsi="Times New Roman" w:cs="Times New Roman"/>
                <w:i/>
                <w:sz w:val="20"/>
                <w:szCs w:val="20"/>
                <w:vertAlign w:val="superscript"/>
              </w:rPr>
              <w:t>-1</w:t>
            </w:r>
            <w:r w:rsidRPr="00210933">
              <w:rPr>
                <w:rFonts w:ascii="Times New Roman" w:hAnsi="Times New Roman" w:cs="Times New Roman"/>
                <w:i/>
                <w:sz w:val="20"/>
                <w:szCs w:val="20"/>
              </w:rPr>
              <w:t xml:space="preserve"> K</w:t>
            </w:r>
            <w:r w:rsidRPr="00210933">
              <w:rPr>
                <w:rFonts w:ascii="Times New Roman" w:hAnsi="Times New Roman" w:cs="Times New Roman"/>
                <w:i/>
                <w:sz w:val="20"/>
                <w:szCs w:val="20"/>
                <w:vertAlign w:val="superscript"/>
              </w:rPr>
              <w:t>-1</w:t>
            </w:r>
            <w:r w:rsidRPr="00210933">
              <w:rPr>
                <w:rFonts w:ascii="Times New Roman" w:hAnsi="Times New Roman" w:cs="Times New Roman"/>
                <w:i/>
                <w:sz w:val="20"/>
                <w:szCs w:val="20"/>
              </w:rPr>
              <w:t>)</w:t>
            </w:r>
          </w:p>
        </w:tc>
        <w:tc>
          <w:tcPr>
            <w:tcW w:w="1482" w:type="dxa"/>
            <w:noWrap/>
            <w:hideMark/>
          </w:tcPr>
          <w:p w14:paraId="52FC75BF" w14:textId="77777777" w:rsidR="008608E0" w:rsidRPr="00210933" w:rsidRDefault="008608E0" w:rsidP="00A4247D">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2.1</w:t>
            </w:r>
          </w:p>
        </w:tc>
      </w:tr>
      <w:tr w:rsidR="008608E0" w:rsidRPr="00210933" w14:paraId="233D5345" w14:textId="77777777" w:rsidTr="006A23D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76F491E5"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lastRenderedPageBreak/>
              <w:t>Solidus T (°C)</w:t>
            </w:r>
          </w:p>
        </w:tc>
        <w:tc>
          <w:tcPr>
            <w:tcW w:w="1482" w:type="dxa"/>
            <w:noWrap/>
            <w:hideMark/>
          </w:tcPr>
          <w:p w14:paraId="1F8DF003" w14:textId="77777777" w:rsidR="008608E0" w:rsidRPr="00210933" w:rsidRDefault="008608E0" w:rsidP="00A4247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950</w:t>
            </w:r>
          </w:p>
        </w:tc>
      </w:tr>
      <w:tr w:rsidR="008608E0" w:rsidRPr="00210933" w14:paraId="06666B84" w14:textId="77777777" w:rsidTr="006A23DC">
        <w:trPr>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02B0500B"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Liquidus T (°C)</w:t>
            </w:r>
          </w:p>
        </w:tc>
        <w:tc>
          <w:tcPr>
            <w:tcW w:w="1482" w:type="dxa"/>
            <w:noWrap/>
            <w:hideMark/>
          </w:tcPr>
          <w:p w14:paraId="40FB5E88" w14:textId="77777777" w:rsidR="008608E0" w:rsidRPr="00210933" w:rsidRDefault="008608E0" w:rsidP="00A4247D">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1150</w:t>
            </w:r>
          </w:p>
        </w:tc>
      </w:tr>
      <w:tr w:rsidR="008608E0" w:rsidRPr="00210933" w14:paraId="0F5B420C" w14:textId="77777777" w:rsidTr="006A23D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9" w:type="dxa"/>
            <w:noWrap/>
            <w:hideMark/>
          </w:tcPr>
          <w:p w14:paraId="223764D9" w14:textId="77777777" w:rsidR="008608E0" w:rsidRPr="00210933" w:rsidRDefault="008608E0" w:rsidP="00A4247D">
            <w:pPr>
              <w:spacing w:line="480" w:lineRule="auto"/>
              <w:rPr>
                <w:rFonts w:ascii="Times New Roman" w:hAnsi="Times New Roman" w:cs="Times New Roman"/>
                <w:b w:val="0"/>
                <w:bCs w:val="0"/>
                <w:i/>
                <w:sz w:val="20"/>
                <w:szCs w:val="20"/>
              </w:rPr>
            </w:pPr>
            <w:r w:rsidRPr="00210933">
              <w:rPr>
                <w:rFonts w:ascii="Times New Roman" w:hAnsi="Times New Roman" w:cs="Times New Roman"/>
                <w:i/>
                <w:sz w:val="20"/>
                <w:szCs w:val="20"/>
              </w:rPr>
              <w:t>Latent Heat of Crystallization (kJ kg</w:t>
            </w:r>
            <w:r w:rsidRPr="00210933">
              <w:rPr>
                <w:rFonts w:ascii="Times New Roman" w:hAnsi="Times New Roman" w:cs="Times New Roman"/>
                <w:i/>
                <w:sz w:val="20"/>
                <w:szCs w:val="20"/>
                <w:vertAlign w:val="superscript"/>
              </w:rPr>
              <w:t>-1</w:t>
            </w:r>
            <w:r w:rsidRPr="00210933">
              <w:rPr>
                <w:rFonts w:ascii="Times New Roman" w:hAnsi="Times New Roman" w:cs="Times New Roman"/>
                <w:i/>
                <w:sz w:val="20"/>
                <w:szCs w:val="20"/>
              </w:rPr>
              <w:t>)</w:t>
            </w:r>
          </w:p>
        </w:tc>
        <w:tc>
          <w:tcPr>
            <w:tcW w:w="1482" w:type="dxa"/>
            <w:noWrap/>
            <w:hideMark/>
          </w:tcPr>
          <w:p w14:paraId="42248DA8" w14:textId="77777777" w:rsidR="008608E0" w:rsidRPr="00210933" w:rsidRDefault="008608E0" w:rsidP="00A4247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10933">
              <w:rPr>
                <w:rFonts w:ascii="Times New Roman" w:hAnsi="Times New Roman" w:cs="Times New Roman"/>
                <w:sz w:val="20"/>
                <w:szCs w:val="20"/>
              </w:rPr>
              <w:t>320</w:t>
            </w:r>
          </w:p>
        </w:tc>
      </w:tr>
    </w:tbl>
    <w:p w14:paraId="09009D95" w14:textId="00CC238B" w:rsidR="008608E0" w:rsidRDefault="008608E0" w:rsidP="008608E0">
      <w:pPr>
        <w:spacing w:line="480" w:lineRule="auto"/>
        <w:rPr>
          <w:rFonts w:ascii="Times New Roman" w:hAnsi="Times New Roman" w:cs="Times New Roman"/>
          <w:sz w:val="18"/>
          <w:szCs w:val="18"/>
        </w:rPr>
      </w:pPr>
      <w:r w:rsidRPr="00210933">
        <w:rPr>
          <w:rFonts w:ascii="Times New Roman" w:hAnsi="Times New Roman" w:cs="Times New Roman"/>
          <w:sz w:val="18"/>
          <w:szCs w:val="18"/>
        </w:rPr>
        <w:t xml:space="preserve">Table </w:t>
      </w:r>
      <w:r w:rsidR="006A23DC">
        <w:rPr>
          <w:rFonts w:ascii="Times New Roman" w:hAnsi="Times New Roman" w:cs="Times New Roman"/>
          <w:sz w:val="18"/>
          <w:szCs w:val="18"/>
        </w:rPr>
        <w:t>S3</w:t>
      </w:r>
      <w:r w:rsidRPr="00210933">
        <w:rPr>
          <w:rFonts w:ascii="Times New Roman" w:hAnsi="Times New Roman" w:cs="Times New Roman"/>
          <w:sz w:val="18"/>
          <w:szCs w:val="18"/>
        </w:rPr>
        <w:t xml:space="preserve">. Thermal properties and emplacement conditions for </w:t>
      </w:r>
      <w:proofErr w:type="spellStart"/>
      <w:r w:rsidRPr="00210933">
        <w:rPr>
          <w:rFonts w:ascii="Times New Roman" w:hAnsi="Times New Roman" w:cs="Times New Roman"/>
          <w:sz w:val="18"/>
          <w:szCs w:val="18"/>
        </w:rPr>
        <w:t>Derim</w:t>
      </w:r>
      <w:proofErr w:type="spellEnd"/>
      <w:r w:rsidRPr="00210933">
        <w:rPr>
          <w:rFonts w:ascii="Times New Roman" w:hAnsi="Times New Roman" w:cs="Times New Roman"/>
          <w:sz w:val="18"/>
          <w:szCs w:val="18"/>
        </w:rPr>
        <w:t xml:space="preserve"> </w:t>
      </w:r>
      <w:proofErr w:type="spellStart"/>
      <w:r w:rsidRPr="00210933">
        <w:rPr>
          <w:rFonts w:ascii="Times New Roman" w:hAnsi="Times New Roman" w:cs="Times New Roman"/>
          <w:sz w:val="18"/>
          <w:szCs w:val="18"/>
        </w:rPr>
        <w:t>Derim</w:t>
      </w:r>
      <w:proofErr w:type="spellEnd"/>
      <w:r w:rsidRPr="00210933">
        <w:rPr>
          <w:rFonts w:ascii="Times New Roman" w:hAnsi="Times New Roman" w:cs="Times New Roman"/>
          <w:sz w:val="18"/>
          <w:szCs w:val="18"/>
        </w:rPr>
        <w:t xml:space="preserve"> Dolerite sill used in one-dimensional modelling with </w:t>
      </w:r>
      <w:proofErr w:type="spellStart"/>
      <w:r w:rsidRPr="00210933">
        <w:rPr>
          <w:rFonts w:ascii="Times New Roman" w:hAnsi="Times New Roman" w:cs="Times New Roman"/>
          <w:sz w:val="18"/>
          <w:szCs w:val="18"/>
        </w:rPr>
        <w:t>SILLi</w:t>
      </w:r>
      <w:proofErr w:type="spellEnd"/>
      <w:r w:rsidRPr="00210933">
        <w:rPr>
          <w:rFonts w:ascii="Times New Roman" w:hAnsi="Times New Roman" w:cs="Times New Roman"/>
          <w:sz w:val="18"/>
          <w:szCs w:val="18"/>
        </w:rPr>
        <w:t xml:space="preserve"> 1.0.</w:t>
      </w:r>
    </w:p>
    <w:p w14:paraId="13673DB7" w14:textId="4BCDC273" w:rsidR="0006757F" w:rsidRDefault="0006757F" w:rsidP="0006757F">
      <w:pPr>
        <w:pStyle w:val="ListParagraph"/>
        <w:numPr>
          <w:ilvl w:val="0"/>
          <w:numId w:val="3"/>
        </w:numPr>
        <w:rPr>
          <w:rFonts w:ascii="Times New Roman" w:hAnsi="Times New Roman" w:cs="Times New Roman"/>
          <w:b/>
          <w:bCs/>
          <w:sz w:val="20"/>
          <w:szCs w:val="20"/>
        </w:rPr>
      </w:pPr>
      <w:r>
        <w:rPr>
          <w:rFonts w:ascii="Times New Roman" w:hAnsi="Times New Roman" w:cs="Times New Roman"/>
          <w:b/>
          <w:bCs/>
          <w:sz w:val="20"/>
          <w:szCs w:val="20"/>
        </w:rPr>
        <w:t>Figure Captions</w:t>
      </w:r>
    </w:p>
    <w:p w14:paraId="08189914" w14:textId="0A2A5780" w:rsidR="006A23DC" w:rsidRPr="006A23DC" w:rsidRDefault="006A23DC" w:rsidP="006A23DC">
      <w:pPr>
        <w:rPr>
          <w:rFonts w:ascii="Times New Roman" w:hAnsi="Times New Roman" w:cs="Times New Roman"/>
          <w:b/>
          <w:bCs/>
          <w:sz w:val="18"/>
          <w:szCs w:val="18"/>
        </w:rPr>
      </w:pPr>
      <w:r w:rsidRPr="006A23DC">
        <w:rPr>
          <w:rFonts w:ascii="Times New Roman" w:hAnsi="Times New Roman" w:cs="Times New Roman"/>
          <w:b/>
          <w:bCs/>
          <w:sz w:val="18"/>
          <w:szCs w:val="18"/>
        </w:rPr>
        <w:t xml:space="preserve">Figure </w:t>
      </w:r>
      <w:r>
        <w:rPr>
          <w:rFonts w:ascii="Times New Roman" w:hAnsi="Times New Roman" w:cs="Times New Roman"/>
          <w:b/>
          <w:bCs/>
          <w:sz w:val="18"/>
          <w:szCs w:val="18"/>
        </w:rPr>
        <w:t>S</w:t>
      </w:r>
      <w:r w:rsidRPr="006A23DC">
        <w:rPr>
          <w:rFonts w:ascii="Times New Roman" w:hAnsi="Times New Roman" w:cs="Times New Roman"/>
          <w:b/>
          <w:bCs/>
          <w:sz w:val="18"/>
          <w:szCs w:val="18"/>
        </w:rPr>
        <w:t xml:space="preserve">1. Summary of geochronological data from standards GL-O glauconite </w:t>
      </w:r>
      <w:r w:rsidRPr="006A23DC">
        <w:rPr>
          <w:rFonts w:ascii="Times New Roman" w:hAnsi="Times New Roman" w:cs="Times New Roman"/>
          <w:b/>
          <w:bCs/>
          <w:sz w:val="18"/>
          <w:szCs w:val="18"/>
        </w:rPr>
        <w:fldChar w:fldCharType="begin">
          <w:fldData xml:space="preserve">PEVuZE5vdGU+PENpdGU+PEF1dGhvcj5DaGFyYml0PC9BdXRob3I+PFllYXI+MTk5ODwvWWVhcj48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</w:fldData>
        </w:fldChar>
      </w:r>
      <w:r w:rsidRPr="006A23DC">
        <w:rPr>
          <w:rFonts w:ascii="Times New Roman" w:hAnsi="Times New Roman" w:cs="Times New Roman"/>
          <w:b/>
          <w:bCs/>
          <w:sz w:val="18"/>
          <w:szCs w:val="18"/>
        </w:rPr>
        <w:instrText xml:space="preserve"> ADDIN EN.CITE </w:instrText>
      </w:r>
      <w:r w:rsidRPr="006A23DC">
        <w:rPr>
          <w:rFonts w:ascii="Times New Roman" w:hAnsi="Times New Roman" w:cs="Times New Roman"/>
          <w:b/>
          <w:bCs/>
          <w:sz w:val="18"/>
          <w:szCs w:val="18"/>
        </w:rPr>
        <w:fldChar w:fldCharType="begin">
          <w:fldData xml:space="preserve">PEVuZE5vdGU+PENpdGU+PEF1dGhvcj5DaGFyYml0PC9BdXRob3I+PFllYXI+MTk5ODwvWWVhcj48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</w:fldData>
        </w:fldChar>
      </w:r>
      <w:r w:rsidRPr="006A23DC">
        <w:rPr>
          <w:rFonts w:ascii="Times New Roman" w:hAnsi="Times New Roman" w:cs="Times New Roman"/>
          <w:b/>
          <w:bCs/>
          <w:sz w:val="18"/>
          <w:szCs w:val="18"/>
        </w:rPr>
        <w:instrText xml:space="preserve"> ADDIN EN.CITE.DATA </w:instrText>
      </w:r>
      <w:r w:rsidRPr="006A23DC">
        <w:rPr>
          <w:rFonts w:ascii="Times New Roman" w:hAnsi="Times New Roman" w:cs="Times New Roman"/>
          <w:b/>
          <w:bCs/>
          <w:sz w:val="18"/>
          <w:szCs w:val="18"/>
        </w:rPr>
      </w:r>
      <w:r w:rsidRPr="006A23DC">
        <w:rPr>
          <w:rFonts w:ascii="Times New Roman" w:hAnsi="Times New Roman" w:cs="Times New Roman"/>
          <w:b/>
          <w:bCs/>
          <w:sz w:val="18"/>
          <w:szCs w:val="18"/>
        </w:rPr>
        <w:fldChar w:fldCharType="end"/>
      </w:r>
      <w:r w:rsidRPr="006A23DC">
        <w:rPr>
          <w:rFonts w:ascii="Times New Roman" w:hAnsi="Times New Roman" w:cs="Times New Roman"/>
          <w:b/>
          <w:bCs/>
          <w:sz w:val="18"/>
          <w:szCs w:val="18"/>
        </w:rPr>
      </w:r>
      <w:r w:rsidRPr="006A23DC">
        <w:rPr>
          <w:rFonts w:ascii="Times New Roman" w:hAnsi="Times New Roman" w:cs="Times New Roman"/>
          <w:b/>
          <w:bCs/>
          <w:sz w:val="18"/>
          <w:szCs w:val="18"/>
        </w:rPr>
        <w:fldChar w:fldCharType="separate"/>
      </w:r>
      <w:r w:rsidRPr="006A23DC">
        <w:rPr>
          <w:rFonts w:ascii="Times New Roman" w:hAnsi="Times New Roman" w:cs="Times New Roman"/>
          <w:b/>
          <w:bCs/>
          <w:noProof/>
          <w:sz w:val="18"/>
          <w:szCs w:val="18"/>
        </w:rPr>
        <w:t>(Charbit et al., 1998; Derkowski et al., 2009)</w:t>
      </w:r>
      <w:r w:rsidRPr="006A23DC">
        <w:rPr>
          <w:rFonts w:ascii="Times New Roman" w:hAnsi="Times New Roman" w:cs="Times New Roman"/>
          <w:b/>
          <w:bCs/>
          <w:sz w:val="18"/>
          <w:szCs w:val="18"/>
        </w:rPr>
        <w:fldChar w:fldCharType="end"/>
      </w:r>
      <w:r w:rsidRPr="006A23DC">
        <w:rPr>
          <w:rFonts w:ascii="Times New Roman" w:hAnsi="Times New Roman" w:cs="Times New Roman"/>
          <w:b/>
          <w:bCs/>
          <w:sz w:val="18"/>
          <w:szCs w:val="18"/>
        </w:rPr>
        <w:t xml:space="preserve"> and MDC phlogopite </w:t>
      </w:r>
      <w:r w:rsidRPr="006A23DC">
        <w:rPr>
          <w:rFonts w:ascii="Times New Roman" w:hAnsi="Times New Roman" w:cs="Times New Roman"/>
          <w:b/>
          <w:bCs/>
          <w:sz w:val="18"/>
          <w:szCs w:val="18"/>
        </w:rPr>
        <w:fldChar w:fldCharType="begin"/>
      </w:r>
      <w:r w:rsidRPr="006A23DC">
        <w:rPr>
          <w:rFonts w:ascii="Times New Roman" w:hAnsi="Times New Roman" w:cs="Times New Roman"/>
          <w:b/>
          <w:bCs/>
          <w:sz w:val="18"/>
          <w:szCs w:val="18"/>
        </w:rPr>
        <w:instrText xml:space="preserve"> ADDIN EN.CITE &lt;EndNote&gt;&lt;Cite&gt;&lt;Author&gt;Hogmalm&lt;/Author&gt;&lt;Year&gt;2017&lt;/Year&gt;&lt;RecNum&gt;20&lt;/RecNum&gt;&lt;DisplayText&gt;(Hogmalm et al., 2017)&lt;/DisplayText&gt;&lt;record&gt;&lt;rec-number&gt;20&lt;/rec-number&gt;&lt;foreign-keys&gt;&lt;key app="EN" db-id="5sx2pewp2avfr3e2zfkv902kz9fppe9vzxse" timestamp="1584501155"&gt;20&lt;/key&gt;&lt;key app="ENWeb" db-id=""&gt;0&lt;/key&gt;&lt;/foreign-keys&gt;&lt;ref-type name="Journal Article"&gt;17&lt;/ref-type&gt;&lt;contributors&gt;&lt;authors&gt;&lt;author&gt;Hogmalm, K. Johan&lt;/author&gt;&lt;author&gt;Zack, Thomas&lt;/author&gt;&lt;author&gt;Karlsson, Andreas K. O.&lt;/author&gt;&lt;author&gt;Sjöqvist, Axel S. L.&lt;/author&gt;&lt;author&gt;Garbe-Schönberg, Dieter&lt;/author&gt;&lt;/authors&gt;&lt;/contributors&gt;&lt;titles&gt;&lt;title&gt;In situ Rb–Sr and K–Ca dating by LA-ICP-MS/MS: an evaluation of N2O and SF6 as reaction gases&lt;/title&gt;&lt;secondary-title&gt;Journal of Analytical Atomic Spectrometry&lt;/secondary-title&gt;&lt;/titles&gt;&lt;periodical&gt;&lt;full-title&gt;Journal of Analytical Atomic Spectrometry&lt;/full-title&gt;&lt;/periodical&gt;&lt;pages&gt;305-313&lt;/pages&gt;&lt;volume&gt;32&lt;/volume&gt;&lt;number&gt;2&lt;/number&gt;&lt;section&gt;305&lt;/section&gt;&lt;dates&gt;&lt;year&gt;2017&lt;/year&gt;&lt;/dates&gt;&lt;isbn&gt;0267-9477&amp;#xD;1364-5544&lt;/isbn&gt;&lt;urls&gt;&lt;/urls&gt;&lt;electronic-resource-num&gt;10.1039/c6ja00362a&lt;/electronic-resource-num&gt;&lt;/record&gt;&lt;/Cite&gt;&lt;/EndNote&gt;</w:instrText>
      </w:r>
      <w:r w:rsidRPr="006A23DC">
        <w:rPr>
          <w:rFonts w:ascii="Times New Roman" w:hAnsi="Times New Roman" w:cs="Times New Roman"/>
          <w:b/>
          <w:bCs/>
          <w:sz w:val="18"/>
          <w:szCs w:val="18"/>
        </w:rPr>
        <w:fldChar w:fldCharType="separate"/>
      </w:r>
      <w:r w:rsidRPr="006A23DC">
        <w:rPr>
          <w:rFonts w:ascii="Times New Roman" w:hAnsi="Times New Roman" w:cs="Times New Roman"/>
          <w:b/>
          <w:bCs/>
          <w:noProof/>
          <w:sz w:val="18"/>
          <w:szCs w:val="18"/>
        </w:rPr>
        <w:t>(Hogmalm et al., 2017)</w:t>
      </w:r>
      <w:r w:rsidRPr="006A23DC">
        <w:rPr>
          <w:rFonts w:ascii="Times New Roman" w:hAnsi="Times New Roman" w:cs="Times New Roman"/>
          <w:b/>
          <w:bCs/>
          <w:sz w:val="18"/>
          <w:szCs w:val="18"/>
        </w:rPr>
        <w:fldChar w:fldCharType="end"/>
      </w:r>
      <w:r w:rsidRPr="006A23DC">
        <w:rPr>
          <w:rFonts w:ascii="Times New Roman" w:hAnsi="Times New Roman" w:cs="Times New Roman"/>
          <w:b/>
          <w:bCs/>
          <w:sz w:val="18"/>
          <w:szCs w:val="18"/>
        </w:rPr>
        <w:t xml:space="preserve"> used in this study agrees with published values.</w:t>
      </w:r>
    </w:p>
    <w:p w14:paraId="4F8C0805" w14:textId="4F14260B" w:rsidR="0006757F" w:rsidRDefault="006A23DC" w:rsidP="006A23DC">
      <w:pPr>
        <w:rPr>
          <w:rFonts w:ascii="Times New Roman" w:hAnsi="Times New Roman" w:cs="Times New Roman"/>
          <w:b/>
          <w:bCs/>
          <w:sz w:val="18"/>
          <w:szCs w:val="18"/>
        </w:rPr>
      </w:pPr>
      <w:r w:rsidRPr="006A23DC">
        <w:rPr>
          <w:rFonts w:ascii="Times New Roman" w:hAnsi="Times New Roman" w:cs="Times New Roman"/>
          <w:b/>
          <w:bCs/>
          <w:sz w:val="18"/>
          <w:szCs w:val="18"/>
        </w:rPr>
        <w:t xml:space="preserve">Figure </w:t>
      </w:r>
      <w:r>
        <w:rPr>
          <w:rFonts w:ascii="Times New Roman" w:hAnsi="Times New Roman" w:cs="Times New Roman"/>
          <w:b/>
          <w:bCs/>
          <w:sz w:val="18"/>
          <w:szCs w:val="18"/>
        </w:rPr>
        <w:t>S</w:t>
      </w:r>
      <w:r w:rsidRPr="006A23DC">
        <w:rPr>
          <w:rFonts w:ascii="Times New Roman" w:hAnsi="Times New Roman" w:cs="Times New Roman"/>
          <w:b/>
          <w:bCs/>
          <w:sz w:val="18"/>
          <w:szCs w:val="18"/>
        </w:rPr>
        <w:t xml:space="preserve">2A-E. BSE images overlain with MLA maps of the Velkerri Formation shale samples selected for </w:t>
      </w:r>
      <w:r w:rsidRPr="006A23DC">
        <w:rPr>
          <w:rFonts w:ascii="Times New Roman" w:hAnsi="Times New Roman" w:cs="Times New Roman"/>
          <w:b/>
          <w:bCs/>
          <w:i/>
          <w:sz w:val="18"/>
          <w:szCs w:val="18"/>
        </w:rPr>
        <w:t>in situ</w:t>
      </w:r>
      <w:r w:rsidRPr="006A23DC">
        <w:rPr>
          <w:rFonts w:ascii="Times New Roman" w:hAnsi="Times New Roman" w:cs="Times New Roman"/>
          <w:b/>
          <w:bCs/>
          <w:sz w:val="18"/>
          <w:szCs w:val="18"/>
        </w:rPr>
        <w:t xml:space="preserve"> laser ablation analysis in this study (legend in Figure 5). Supp. Figure 2A – sample at 415 m depth. Figure 2B – sample at 520 m depth. Figure 2C – sample at 696 m depth. Figure 2D – sample at 938 m depth. Figure 2E – sample at 1220 m depth.</w:t>
      </w:r>
    </w:p>
    <w:p w14:paraId="5304460B" w14:textId="2C6C256D" w:rsidR="00930A25" w:rsidRPr="006A23DC" w:rsidRDefault="00930A25" w:rsidP="006A23DC">
      <w:pPr>
        <w:rPr>
          <w:rFonts w:ascii="Times New Roman" w:hAnsi="Times New Roman" w:cs="Times New Roman"/>
          <w:b/>
          <w:bCs/>
          <w:sz w:val="18"/>
          <w:szCs w:val="18"/>
        </w:rPr>
      </w:pPr>
      <w:r>
        <w:rPr>
          <w:rFonts w:ascii="Times New Roman" w:hAnsi="Times New Roman" w:cs="Times New Roman"/>
          <w:b/>
          <w:bCs/>
          <w:sz w:val="18"/>
          <w:szCs w:val="18"/>
        </w:rPr>
        <w:t>Figure S3. Compiled bulk XRD diffractograms for this study showing their respective</w:t>
      </w:r>
      <w:r w:rsidRPr="00930A25">
        <w:rPr>
          <w:rFonts w:ascii="Times New Roman" w:hAnsi="Times New Roman" w:cs="Times New Roman"/>
          <w:b/>
          <w:bCs/>
          <w:sz w:val="18"/>
          <w:szCs w:val="18"/>
        </w:rPr>
        <w:t xml:space="preserve"> 001-reflection of </w:t>
      </w:r>
      <w:proofErr w:type="spellStart"/>
      <w:r w:rsidRPr="00930A25">
        <w:rPr>
          <w:rFonts w:ascii="Times New Roman" w:hAnsi="Times New Roman" w:cs="Times New Roman"/>
          <w:b/>
          <w:bCs/>
          <w:sz w:val="18"/>
          <w:szCs w:val="18"/>
        </w:rPr>
        <w:t>illite</w:t>
      </w:r>
      <w:proofErr w:type="spellEnd"/>
      <w:r>
        <w:rPr>
          <w:rFonts w:ascii="Times New Roman" w:hAnsi="Times New Roman" w:cs="Times New Roman"/>
          <w:b/>
          <w:bCs/>
          <w:sz w:val="18"/>
          <w:szCs w:val="18"/>
        </w:rPr>
        <w:t xml:space="preserve"> spectra.</w:t>
      </w:r>
    </w:p>
    <w:p w14:paraId="57E670A4" w14:textId="2699BD25" w:rsidR="008C51C9" w:rsidRPr="00D77803" w:rsidRDefault="00D77803" w:rsidP="00D77803">
      <w:pPr>
        <w:pStyle w:val="ListParagraph"/>
        <w:numPr>
          <w:ilvl w:val="0"/>
          <w:numId w:val="3"/>
        </w:numPr>
        <w:rPr>
          <w:rFonts w:ascii="Times New Roman" w:hAnsi="Times New Roman" w:cs="Times New Roman"/>
          <w:b/>
          <w:bCs/>
          <w:sz w:val="20"/>
          <w:szCs w:val="20"/>
        </w:rPr>
      </w:pPr>
      <w:r w:rsidRPr="00D77803">
        <w:rPr>
          <w:rFonts w:ascii="Times New Roman" w:hAnsi="Times New Roman" w:cs="Times New Roman"/>
          <w:b/>
          <w:bCs/>
          <w:sz w:val="20"/>
          <w:szCs w:val="20"/>
        </w:rPr>
        <w:t>References</w:t>
      </w:r>
    </w:p>
    <w:p w14:paraId="41944C30" w14:textId="77777777" w:rsidR="003C5583" w:rsidRPr="003C5583" w:rsidRDefault="008C51C9" w:rsidP="003C5583">
      <w:pPr>
        <w:pStyle w:val="EndNoteBibliography"/>
        <w:spacing w:after="0"/>
        <w:ind w:left="720" w:hanging="720"/>
      </w:pPr>
      <w:r w:rsidRPr="00210933">
        <w:rPr>
          <w:rFonts w:ascii="Times New Roman" w:hAnsi="Times New Roman" w:cs="Times New Roman"/>
          <w:sz w:val="20"/>
          <w:szCs w:val="20"/>
        </w:rPr>
        <w:fldChar w:fldCharType="begin"/>
      </w:r>
      <w:r w:rsidRPr="00210933">
        <w:rPr>
          <w:rFonts w:ascii="Times New Roman" w:hAnsi="Times New Roman" w:cs="Times New Roman"/>
          <w:sz w:val="20"/>
          <w:szCs w:val="20"/>
        </w:rPr>
        <w:instrText xml:space="preserve"> ADDIN EN.REFLIST </w:instrText>
      </w:r>
      <w:r w:rsidRPr="00210933">
        <w:rPr>
          <w:rFonts w:ascii="Times New Roman" w:hAnsi="Times New Roman" w:cs="Times New Roman"/>
          <w:sz w:val="20"/>
          <w:szCs w:val="20"/>
        </w:rPr>
        <w:fldChar w:fldCharType="separate"/>
      </w:r>
      <w:r w:rsidR="003C5583" w:rsidRPr="003C5583">
        <w:t>Charbit, S., Guillou, H., and Turpin, L., 1998, Cross calibration of K–Ar standard minerals using an unspiked Ar measurement technique: Chemical Geology, v. 150, no. 1-2, p. 147-159.</w:t>
      </w:r>
    </w:p>
    <w:p w14:paraId="28D99F0C" w14:textId="77777777" w:rsidR="003C5583" w:rsidRPr="003C5583" w:rsidRDefault="003C5583" w:rsidP="003C5583">
      <w:pPr>
        <w:pStyle w:val="EndNoteBibliography"/>
        <w:spacing w:after="0"/>
        <w:ind w:left="720" w:hanging="720"/>
      </w:pPr>
      <w:r w:rsidRPr="003C5583">
        <w:t>Cox, G. M., Jarrett, A., Edwards, D., Crockford, P. W., Halverson, G. P., Collins, A. S., Poirier, A., and Li, Z.-X., 2016, Basin redox and primary productivity within the Mesoproterozoic Roper Seaway: Chemical Geology, v. 440, p. 101-114.</w:t>
      </w:r>
    </w:p>
    <w:p w14:paraId="14B7497D" w14:textId="77777777" w:rsidR="003C5583" w:rsidRPr="003C5583" w:rsidRDefault="003C5583" w:rsidP="003C5583">
      <w:pPr>
        <w:pStyle w:val="EndNoteBibliography"/>
        <w:spacing w:after="0"/>
        <w:ind w:left="720" w:hanging="720"/>
      </w:pPr>
      <w:r w:rsidRPr="003C5583">
        <w:t>Derkowski, A., Środoń, J., Franus, W., Uhlík, P., Banaś, M., Zieliński, G., Čaplovičová, M., and Franus, M., 2009, Partial dissolution of glauconitic samples: Implications for the methodology of K-Ar and Rb-Sr dating: Clays and Clay Minerals, v. 57, no. 5, p. 531-554.</w:t>
      </w:r>
    </w:p>
    <w:p w14:paraId="228F1EBD" w14:textId="77777777" w:rsidR="003C5583" w:rsidRPr="003C5583" w:rsidRDefault="003C5583" w:rsidP="003C5583">
      <w:pPr>
        <w:pStyle w:val="EndNoteBibliography"/>
        <w:spacing w:after="0"/>
        <w:ind w:left="720" w:hanging="720"/>
      </w:pPr>
      <w:r w:rsidRPr="003C5583">
        <w:t>Gard, M., Hasterok, D., and Halpin, J. A. J. E. S. S. D., 2019, Global whole-rock geochemical database compilation, v. 11, no. 4, p. 1553-1566.</w:t>
      </w:r>
    </w:p>
    <w:p w14:paraId="71805A70" w14:textId="77777777" w:rsidR="003C5583" w:rsidRPr="003C5583" w:rsidRDefault="003C5583" w:rsidP="003C5583">
      <w:pPr>
        <w:pStyle w:val="EndNoteBibliography"/>
        <w:spacing w:after="0"/>
        <w:ind w:left="720" w:hanging="720"/>
      </w:pPr>
      <w:r w:rsidRPr="003C5583">
        <w:t>Hogmalm, K. J., Zack, T., Karlsson, A. K. O., Sjöqvist, A. S. L., and Garbe-Schönberg, D., 2017, In situ Rb–Sr and K–Ca dating by LA-ICP-MS/MS: an evaluation of N2O and SF6 as reaction gases: Journal of Analytical Atomic Spectrometry, v. 32, no. 2, p. 305-313.</w:t>
      </w:r>
    </w:p>
    <w:p w14:paraId="6362B72E" w14:textId="77777777" w:rsidR="003C5583" w:rsidRPr="003C5583" w:rsidRDefault="003C5583" w:rsidP="003C5583">
      <w:pPr>
        <w:pStyle w:val="EndNoteBibliography"/>
        <w:spacing w:after="0"/>
        <w:ind w:left="720" w:hanging="720"/>
      </w:pPr>
      <w:r w:rsidRPr="003C5583">
        <w:t>Iyer, K., Svensen, H., and Schmid, D. W., 2018, SILLi 1.0: a 1-D numerical tool quantifying the thermal effects of sill intrusions: Geosci. Model Dev., v. 11, no. 1, p. 43-60.</w:t>
      </w:r>
    </w:p>
    <w:p w14:paraId="11E8852E" w14:textId="77777777" w:rsidR="003C5583" w:rsidRPr="003C5583" w:rsidRDefault="003C5583" w:rsidP="003C5583">
      <w:pPr>
        <w:pStyle w:val="EndNoteBibliography"/>
        <w:spacing w:after="0"/>
        <w:ind w:left="720" w:hanging="720"/>
      </w:pPr>
      <w:r w:rsidRPr="003C5583">
        <w:t xml:space="preserve">NTGS, 2012, Quantitative X-Ray Diffraction Analysis of 30 samples, </w:t>
      </w:r>
      <w:r w:rsidRPr="003C5583">
        <w:rPr>
          <w:i/>
        </w:rPr>
        <w:t>in</w:t>
      </w:r>
      <w:r w:rsidRPr="003C5583">
        <w:t xml:space="preserve"> Survey, N. T. G., ed.: Northern Territory, Australia, Northern Territory Geological Survey.</w:t>
      </w:r>
    </w:p>
    <w:p w14:paraId="1BE34469" w14:textId="77777777" w:rsidR="003C5583" w:rsidRPr="003C5583" w:rsidRDefault="003C5583" w:rsidP="003C5583">
      <w:pPr>
        <w:pStyle w:val="EndNoteBibliography"/>
        <w:spacing w:after="0"/>
        <w:ind w:left="720" w:hanging="720"/>
      </w:pPr>
      <w:r w:rsidRPr="003C5583">
        <w:t>Rafiei, M., and Kennedy, M., 2019, Weathering in a world without terrestrial life recorded in the Mesoproterozoic Velkerri Formation: Nature Communications, v. 10, no. 1, p. 3448.</w:t>
      </w:r>
    </w:p>
    <w:p w14:paraId="1066BEFA" w14:textId="77777777" w:rsidR="003C5583" w:rsidRPr="003C5583" w:rsidRDefault="003C5583" w:rsidP="003C5583">
      <w:pPr>
        <w:pStyle w:val="EndNoteBibliography"/>
        <w:spacing w:after="0"/>
        <w:ind w:left="720" w:hanging="720"/>
      </w:pPr>
      <w:r w:rsidRPr="003C5583">
        <w:t>Redaa, A., Farkaš, J., Gilbert, S., Collins, A. S., Wade, B., Löhr, S., Zack, T., and Garbe-Schönberg, D., 2021, Assessment of elemental fractionation and matrix effects during in situ Rb–Sr dating of phlogopite by LA-ICP-MS/MS: implications for the accuracy and precision of mineral ages: Journal of Analytical Atomic Spectrometry.</w:t>
      </w:r>
    </w:p>
    <w:p w14:paraId="3346CB32" w14:textId="77777777" w:rsidR="003C5583" w:rsidRPr="003C5583" w:rsidRDefault="003C5583" w:rsidP="003C5583">
      <w:pPr>
        <w:pStyle w:val="EndNoteBibliography"/>
        <w:spacing w:after="0"/>
        <w:ind w:left="720" w:hanging="720"/>
      </w:pPr>
      <w:r w:rsidRPr="003C5583">
        <w:t>Subarkah, D., Blades, M. L., Collins, A. S., Farkaš, J., Gilbert, S., Löhr, S. C., Redaa, A., Cassidy, E., and Zack, T., 2021, Unraveling the histories of Proterozoic shales through in situ Rb-Sr dating and trace element laser ablation analysis: Geology.</w:t>
      </w:r>
    </w:p>
    <w:p w14:paraId="232E9196" w14:textId="77777777" w:rsidR="003C5583" w:rsidRPr="003C5583" w:rsidRDefault="003C5583" w:rsidP="003C5583">
      <w:pPr>
        <w:pStyle w:val="EndNoteBibliography"/>
        <w:ind w:left="720" w:hanging="720"/>
      </w:pPr>
      <w:r w:rsidRPr="003C5583">
        <w:t>Subarkah, D., Nixon, A., Jimenez Lloreda, M., Collins, A., Blades, M., Farkas, J., Gilbert, S., Holford, S., and Jarrett, A., 2022, GCHRON-2022-8_SuppFigures, The University of Adelaide.</w:t>
      </w:r>
    </w:p>
    <w:p w14:paraId="16EB0DE2" w14:textId="6EADF8CC" w:rsidR="0051530D" w:rsidRPr="00210933" w:rsidRDefault="008C51C9">
      <w:pPr>
        <w:rPr>
          <w:rFonts w:ascii="Times New Roman" w:hAnsi="Times New Roman" w:cs="Times New Roman"/>
        </w:rPr>
      </w:pPr>
      <w:r w:rsidRPr="00210933">
        <w:rPr>
          <w:rFonts w:ascii="Times New Roman" w:hAnsi="Times New Roman" w:cs="Times New Roman"/>
          <w:sz w:val="20"/>
          <w:szCs w:val="20"/>
        </w:rPr>
        <w:fldChar w:fldCharType="end"/>
      </w:r>
    </w:p>
    <w:sectPr w:rsidR="0051530D" w:rsidRPr="00210933" w:rsidSect="00D35E1B">
      <w:footerReference w:type="default" r:id="rId8"/>
      <w:pgSz w:w="11906" w:h="16838" w:code="9"/>
      <w:pgMar w:top="1440" w:right="1440" w:bottom="1440" w:left="1440"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69E64" w14:textId="77777777" w:rsidR="00F0362C" w:rsidRDefault="00F0362C" w:rsidP="00D35E1B">
      <w:pPr>
        <w:spacing w:after="0" w:line="240" w:lineRule="auto"/>
      </w:pPr>
      <w:r>
        <w:separator/>
      </w:r>
    </w:p>
  </w:endnote>
  <w:endnote w:type="continuationSeparator" w:id="0">
    <w:p w14:paraId="09F0BF93" w14:textId="77777777" w:rsidR="00F0362C" w:rsidRDefault="00F0362C" w:rsidP="00D35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762921"/>
      <w:docPartObj>
        <w:docPartGallery w:val="Page Numbers (Bottom of Page)"/>
        <w:docPartUnique/>
      </w:docPartObj>
    </w:sdtPr>
    <w:sdtEndPr>
      <w:rPr>
        <w:noProof/>
      </w:rPr>
    </w:sdtEndPr>
    <w:sdtContent>
      <w:p w14:paraId="431059B9" w14:textId="19AA4BC0" w:rsidR="00D35E1B" w:rsidRDefault="00D35E1B">
        <w:pPr>
          <w:pStyle w:val="Footer"/>
          <w:jc w:val="right"/>
        </w:pPr>
        <w:r>
          <w:fldChar w:fldCharType="begin"/>
        </w:r>
        <w:r>
          <w:instrText xml:space="preserve"> PAGE   \* MERGEFORMAT </w:instrText>
        </w:r>
        <w:r>
          <w:fldChar w:fldCharType="separate"/>
        </w:r>
        <w:r w:rsidR="003C5583">
          <w:rPr>
            <w:noProof/>
          </w:rPr>
          <w:t>1</w:t>
        </w:r>
        <w:r>
          <w:rPr>
            <w:noProof/>
          </w:rPr>
          <w:fldChar w:fldCharType="end"/>
        </w:r>
      </w:p>
    </w:sdtContent>
  </w:sdt>
  <w:p w14:paraId="10D12485" w14:textId="77777777" w:rsidR="00D35E1B" w:rsidRDefault="00D35E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FF6DC" w14:textId="77777777" w:rsidR="00F0362C" w:rsidRDefault="00F0362C" w:rsidP="00D35E1B">
      <w:pPr>
        <w:spacing w:after="0" w:line="240" w:lineRule="auto"/>
      </w:pPr>
      <w:r>
        <w:separator/>
      </w:r>
    </w:p>
  </w:footnote>
  <w:footnote w:type="continuationSeparator" w:id="0">
    <w:p w14:paraId="2EFD8568" w14:textId="77777777" w:rsidR="00F0362C" w:rsidRDefault="00F0362C" w:rsidP="00D35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27EF"/>
    <w:multiLevelType w:val="hybridMultilevel"/>
    <w:tmpl w:val="02C478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F1E73C6"/>
    <w:multiLevelType w:val="hybridMultilevel"/>
    <w:tmpl w:val="9290499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6329610D"/>
    <w:multiLevelType w:val="hybridMultilevel"/>
    <w:tmpl w:val="3026A63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e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sx2pewp2avfr3e2zfkv902kz9fppe9vzxse&quot;&gt;Shale Chemistry&lt;record-ids&gt;&lt;item&gt;20&lt;/item&gt;&lt;item&gt;70&lt;/item&gt;&lt;item&gt;127&lt;/item&gt;&lt;item&gt;158&lt;/item&gt;&lt;item&gt;346&lt;/item&gt;&lt;item&gt;348&lt;/item&gt;&lt;item&gt;488&lt;/item&gt;&lt;item&gt;493&lt;/item&gt;&lt;item&gt;542&lt;/item&gt;&lt;item&gt;557&lt;/item&gt;&lt;item&gt;667&lt;/item&gt;&lt;/record-ids&gt;&lt;/item&gt;&lt;/Libraries&gt;"/>
  </w:docVars>
  <w:rsids>
    <w:rsidRoot w:val="0051530D"/>
    <w:rsid w:val="0006757F"/>
    <w:rsid w:val="00072F0B"/>
    <w:rsid w:val="000F5A80"/>
    <w:rsid w:val="001923C4"/>
    <w:rsid w:val="001924BC"/>
    <w:rsid w:val="001B3006"/>
    <w:rsid w:val="001E1CBE"/>
    <w:rsid w:val="00210933"/>
    <w:rsid w:val="00223925"/>
    <w:rsid w:val="00236A7F"/>
    <w:rsid w:val="002D5EA7"/>
    <w:rsid w:val="002D65FB"/>
    <w:rsid w:val="003267C9"/>
    <w:rsid w:val="003306D9"/>
    <w:rsid w:val="003C5397"/>
    <w:rsid w:val="003C5583"/>
    <w:rsid w:val="003D13AD"/>
    <w:rsid w:val="003E4A7F"/>
    <w:rsid w:val="003F5E4E"/>
    <w:rsid w:val="00400A08"/>
    <w:rsid w:val="004051B8"/>
    <w:rsid w:val="004429C7"/>
    <w:rsid w:val="004701AF"/>
    <w:rsid w:val="00492DBE"/>
    <w:rsid w:val="00495A3A"/>
    <w:rsid w:val="004A1EA7"/>
    <w:rsid w:val="004D06E5"/>
    <w:rsid w:val="004E4A69"/>
    <w:rsid w:val="004F27D0"/>
    <w:rsid w:val="0050789C"/>
    <w:rsid w:val="0051530D"/>
    <w:rsid w:val="00547875"/>
    <w:rsid w:val="00570622"/>
    <w:rsid w:val="005D7F30"/>
    <w:rsid w:val="005F0511"/>
    <w:rsid w:val="005F3FF5"/>
    <w:rsid w:val="006232E6"/>
    <w:rsid w:val="00650E71"/>
    <w:rsid w:val="00662EFC"/>
    <w:rsid w:val="00670DB7"/>
    <w:rsid w:val="006A23DC"/>
    <w:rsid w:val="007170A8"/>
    <w:rsid w:val="00772C65"/>
    <w:rsid w:val="00781FD3"/>
    <w:rsid w:val="007903ED"/>
    <w:rsid w:val="007A3C6F"/>
    <w:rsid w:val="00816AB0"/>
    <w:rsid w:val="00841BC2"/>
    <w:rsid w:val="00843216"/>
    <w:rsid w:val="008608E0"/>
    <w:rsid w:val="008845AC"/>
    <w:rsid w:val="008C51C9"/>
    <w:rsid w:val="008D6DB6"/>
    <w:rsid w:val="008F322D"/>
    <w:rsid w:val="00911DE1"/>
    <w:rsid w:val="0092182A"/>
    <w:rsid w:val="00925BD3"/>
    <w:rsid w:val="00930A25"/>
    <w:rsid w:val="00946E38"/>
    <w:rsid w:val="009817FA"/>
    <w:rsid w:val="009843EA"/>
    <w:rsid w:val="009876AD"/>
    <w:rsid w:val="009A52EE"/>
    <w:rsid w:val="009B7668"/>
    <w:rsid w:val="009D3338"/>
    <w:rsid w:val="009E68F2"/>
    <w:rsid w:val="00A20EC1"/>
    <w:rsid w:val="00A64F02"/>
    <w:rsid w:val="00A75469"/>
    <w:rsid w:val="00A819F8"/>
    <w:rsid w:val="00A95504"/>
    <w:rsid w:val="00B00A5D"/>
    <w:rsid w:val="00B27863"/>
    <w:rsid w:val="00B571A3"/>
    <w:rsid w:val="00B77227"/>
    <w:rsid w:val="00BE42C5"/>
    <w:rsid w:val="00BF4BBB"/>
    <w:rsid w:val="00C20C61"/>
    <w:rsid w:val="00C23B20"/>
    <w:rsid w:val="00C365C1"/>
    <w:rsid w:val="00C42DEB"/>
    <w:rsid w:val="00CB2124"/>
    <w:rsid w:val="00CF0863"/>
    <w:rsid w:val="00D2676C"/>
    <w:rsid w:val="00D270F1"/>
    <w:rsid w:val="00D35E1B"/>
    <w:rsid w:val="00D61A4B"/>
    <w:rsid w:val="00D77803"/>
    <w:rsid w:val="00DD1BC0"/>
    <w:rsid w:val="00E37FD9"/>
    <w:rsid w:val="00E53C34"/>
    <w:rsid w:val="00EA6D6F"/>
    <w:rsid w:val="00ED06A2"/>
    <w:rsid w:val="00F0362C"/>
    <w:rsid w:val="00F41125"/>
    <w:rsid w:val="00F43D61"/>
    <w:rsid w:val="00F97E86"/>
    <w:rsid w:val="00FA7B0F"/>
    <w:rsid w:val="00FB7684"/>
    <w:rsid w:val="00FC7B4D"/>
    <w:rsid w:val="00FD4527"/>
    <w:rsid w:val="00FE173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F6B45"/>
  <w15:chartTrackingRefBased/>
  <w15:docId w15:val="{BE7D4E71-6D83-4408-A996-3D525EDF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1530D"/>
  </w:style>
  <w:style w:type="paragraph" w:customStyle="1" w:styleId="EndNoteBibliographyTitle">
    <w:name w:val="EndNote Bibliography Title"/>
    <w:basedOn w:val="Normal"/>
    <w:link w:val="EndNoteBibliographyTitleChar"/>
    <w:rsid w:val="008C51C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C51C9"/>
    <w:rPr>
      <w:rFonts w:ascii="Calibri" w:hAnsi="Calibri" w:cs="Calibri"/>
      <w:noProof/>
      <w:lang w:val="en-US"/>
    </w:rPr>
  </w:style>
  <w:style w:type="paragraph" w:customStyle="1" w:styleId="EndNoteBibliography">
    <w:name w:val="EndNote Bibliography"/>
    <w:basedOn w:val="Normal"/>
    <w:link w:val="EndNoteBibliographyChar"/>
    <w:rsid w:val="008C51C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C51C9"/>
    <w:rPr>
      <w:rFonts w:ascii="Calibri" w:hAnsi="Calibri" w:cs="Calibri"/>
      <w:noProof/>
      <w:lang w:val="en-US"/>
    </w:rPr>
  </w:style>
  <w:style w:type="character" w:styleId="PlaceholderText">
    <w:name w:val="Placeholder Text"/>
    <w:basedOn w:val="DefaultParagraphFont"/>
    <w:uiPriority w:val="99"/>
    <w:semiHidden/>
    <w:rsid w:val="00662EFC"/>
    <w:rPr>
      <w:color w:val="808080"/>
    </w:rPr>
  </w:style>
  <w:style w:type="paragraph" w:styleId="ListParagraph">
    <w:name w:val="List Paragraph"/>
    <w:basedOn w:val="Normal"/>
    <w:uiPriority w:val="34"/>
    <w:qFormat/>
    <w:rsid w:val="009D3338"/>
    <w:pPr>
      <w:ind w:left="720"/>
      <w:contextualSpacing/>
    </w:pPr>
  </w:style>
  <w:style w:type="table" w:styleId="PlainTable3">
    <w:name w:val="Plain Table 3"/>
    <w:basedOn w:val="TableNormal"/>
    <w:uiPriority w:val="43"/>
    <w:rsid w:val="00A7546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A754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A7546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54787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4787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eader">
    <w:name w:val="header"/>
    <w:basedOn w:val="Normal"/>
    <w:link w:val="HeaderChar"/>
    <w:uiPriority w:val="99"/>
    <w:unhideWhenUsed/>
    <w:rsid w:val="00D35E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E1B"/>
  </w:style>
  <w:style w:type="paragraph" w:styleId="Footer">
    <w:name w:val="footer"/>
    <w:basedOn w:val="Normal"/>
    <w:link w:val="FooterChar"/>
    <w:uiPriority w:val="99"/>
    <w:unhideWhenUsed/>
    <w:rsid w:val="00D35E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E1B"/>
  </w:style>
  <w:style w:type="paragraph" w:customStyle="1" w:styleId="Correspondence">
    <w:name w:val="Correspondence"/>
    <w:basedOn w:val="Normal"/>
    <w:link w:val="CorrespondenceChar"/>
    <w:qFormat/>
    <w:rsid w:val="00B571A3"/>
    <w:pPr>
      <w:spacing w:before="120" w:after="360" w:line="240" w:lineRule="auto"/>
      <w:jc w:val="both"/>
    </w:pPr>
    <w:rPr>
      <w:rFonts w:ascii="Times New Roman" w:eastAsia="Times New Roman" w:hAnsi="Times New Roman" w:cs="Times New Roman"/>
      <w:sz w:val="20"/>
      <w:szCs w:val="24"/>
      <w:lang w:val="en-GB" w:eastAsia="de-DE"/>
    </w:rPr>
  </w:style>
  <w:style w:type="character" w:customStyle="1" w:styleId="CorrespondenceChar">
    <w:name w:val="Correspondence Char"/>
    <w:link w:val="Correspondence"/>
    <w:rsid w:val="00B571A3"/>
    <w:rPr>
      <w:rFonts w:ascii="Times New Roman" w:eastAsia="Times New Roman" w:hAnsi="Times New Roman" w:cs="Times New Roman"/>
      <w:sz w:val="20"/>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C669B68-0961-4686-9D6E-52D7338A0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6</Pages>
  <Words>3046</Words>
  <Characters>17367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Darwinaji Subarkah</dc:creator>
  <cp:keywords/>
  <dc:description/>
  <cp:lastModifiedBy>Darwinaji Subarkah</cp:lastModifiedBy>
  <cp:revision>32</cp:revision>
  <dcterms:created xsi:type="dcterms:W3CDTF">2022-01-14T04:23:00Z</dcterms:created>
  <dcterms:modified xsi:type="dcterms:W3CDTF">2022-09-05T12:12:00Z</dcterms:modified>
</cp:coreProperties>
</file>